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BC34" w14:textId="56D2C07E" w:rsidR="00476EB7" w:rsidRDefault="00000000">
      <w:pPr>
        <w:spacing w:after="133" w:line="261" w:lineRule="auto"/>
        <w:ind w:left="-5" w:right="0"/>
      </w:pPr>
      <w:r>
        <w:rPr>
          <w:b/>
        </w:rPr>
        <w:t>OBRAZLOŽENJE UZ PRIJEDLOG PRVIH IZMJENA I DOPUNA PRORAČUNA OPĆINE JELENJE ZA 202</w:t>
      </w:r>
      <w:r w:rsidR="00E76997">
        <w:rPr>
          <w:b/>
        </w:rPr>
        <w:t>6</w:t>
      </w:r>
      <w:r>
        <w:rPr>
          <w:b/>
        </w:rPr>
        <w:t>. I PROJEKCIJA PRORAČUNA ZA 202</w:t>
      </w:r>
      <w:r w:rsidR="00E76997">
        <w:rPr>
          <w:b/>
        </w:rPr>
        <w:t>7</w:t>
      </w:r>
      <w:r>
        <w:rPr>
          <w:b/>
        </w:rPr>
        <w:t>. I  202</w:t>
      </w:r>
      <w:r w:rsidR="00E76997">
        <w:rPr>
          <w:b/>
        </w:rPr>
        <w:t>8</w:t>
      </w:r>
      <w:r>
        <w:rPr>
          <w:b/>
        </w:rPr>
        <w:t xml:space="preserve">. </w:t>
      </w:r>
      <w:r>
        <w:rPr>
          <w:rFonts w:ascii="Calibri" w:eastAsia="Calibri" w:hAnsi="Calibri" w:cs="Calibri"/>
        </w:rPr>
        <w:t xml:space="preserve"> </w:t>
      </w:r>
    </w:p>
    <w:p w14:paraId="4D11E39E" w14:textId="77777777" w:rsidR="00476EB7" w:rsidRDefault="00000000">
      <w:pPr>
        <w:spacing w:after="182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 </w:t>
      </w:r>
      <w:r>
        <w:rPr>
          <w:rFonts w:ascii="Calibri" w:eastAsia="Calibri" w:hAnsi="Calibri" w:cs="Calibri"/>
        </w:rPr>
        <w:t xml:space="preserve"> </w:t>
      </w:r>
    </w:p>
    <w:p w14:paraId="4255FE3D" w14:textId="77777777" w:rsidR="00476EB7" w:rsidRDefault="00000000">
      <w:pPr>
        <w:numPr>
          <w:ilvl w:val="0"/>
          <w:numId w:val="1"/>
        </w:numPr>
        <w:spacing w:after="133" w:line="261" w:lineRule="auto"/>
        <w:ind w:right="0" w:hanging="329"/>
      </w:pPr>
      <w:r>
        <w:rPr>
          <w:b/>
        </w:rPr>
        <w:t>OSNOVA ZA DONOŠENJE</w:t>
      </w:r>
      <w:r>
        <w:rPr>
          <w:color w:val="FF660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8073BD4" w14:textId="31DC22B9" w:rsidR="008D2870" w:rsidRDefault="00000000">
      <w:pPr>
        <w:spacing w:after="102" w:line="333" w:lineRule="auto"/>
        <w:ind w:left="-5" w:right="-14"/>
        <w:jc w:val="left"/>
        <w:rPr>
          <w:rFonts w:ascii="Calibri" w:eastAsia="Calibri" w:hAnsi="Calibri" w:cs="Calibri"/>
        </w:rPr>
      </w:pPr>
      <w:r>
        <w:rPr>
          <w:color w:val="FF6600"/>
        </w:rPr>
        <w:t xml:space="preserve"> </w:t>
      </w:r>
      <w:r>
        <w:t>Zakonska osnova za donošenje Izmjena i dopuna Proračuna Općine Jelenje za 202</w:t>
      </w:r>
      <w:r w:rsidR="00E76997">
        <w:t>6</w:t>
      </w:r>
      <w:r>
        <w:t xml:space="preserve">. sadržana je u članku 45. Zakona o proračunu („Narodne novine“ broj 144/21).  </w:t>
      </w:r>
      <w:r>
        <w:rPr>
          <w:rFonts w:ascii="Calibri" w:eastAsia="Calibri" w:hAnsi="Calibri" w:cs="Calibri"/>
        </w:rPr>
        <w:t xml:space="preserve"> </w:t>
      </w:r>
    </w:p>
    <w:p w14:paraId="488F33C5" w14:textId="77777777" w:rsidR="00476EB7" w:rsidRDefault="00000000">
      <w:pPr>
        <w:spacing w:after="102" w:line="333" w:lineRule="auto"/>
        <w:ind w:left="-5" w:right="-14"/>
        <w:jc w:val="left"/>
      </w:pPr>
      <w:r>
        <w:t xml:space="preserve">  </w:t>
      </w:r>
      <w:r>
        <w:tab/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8C1DADE" w14:textId="77777777" w:rsidR="00476EB7" w:rsidRDefault="00000000">
      <w:pPr>
        <w:numPr>
          <w:ilvl w:val="0"/>
          <w:numId w:val="1"/>
        </w:numPr>
        <w:spacing w:after="133" w:line="261" w:lineRule="auto"/>
        <w:ind w:right="0" w:hanging="329"/>
      </w:pPr>
      <w:r>
        <w:rPr>
          <w:b/>
        </w:rPr>
        <w:t xml:space="preserve">OBRAZLOŽENJE PRVIH IZMJENA I DOPUNA PRORAČUNA OPĆINE JELENJE ZA 2024.  </w:t>
      </w:r>
      <w:r>
        <w:rPr>
          <w:rFonts w:ascii="Calibri" w:eastAsia="Calibri" w:hAnsi="Calibri" w:cs="Calibri"/>
        </w:rPr>
        <w:t xml:space="preserve"> </w:t>
      </w:r>
    </w:p>
    <w:p w14:paraId="7FF6495E" w14:textId="2AF99051" w:rsidR="00476EB7" w:rsidRDefault="00000000">
      <w:pPr>
        <w:ind w:left="5" w:right="0"/>
      </w:pPr>
      <w:r>
        <w:t>Proračun Općine Jelenje za 202</w:t>
      </w:r>
      <w:r w:rsidR="00E76997">
        <w:t>6</w:t>
      </w:r>
      <w:r>
        <w:t>. godinu i projekcija proračuna za 202</w:t>
      </w:r>
      <w:r w:rsidR="00E76997">
        <w:t>7</w:t>
      </w:r>
      <w:r>
        <w:t>. i 202</w:t>
      </w:r>
      <w:r w:rsidR="00E76997">
        <w:t>8</w:t>
      </w:r>
      <w:r>
        <w:t xml:space="preserve">.g. (dalje u tekstu: Proračun) doneseni su na </w:t>
      </w:r>
      <w:r w:rsidR="00DF4339">
        <w:t xml:space="preserve">5. </w:t>
      </w:r>
      <w:r>
        <w:t xml:space="preserve">sjednici Općinskog vijeća održanoj dana </w:t>
      </w:r>
      <w:r w:rsidR="00E76997">
        <w:t>22</w:t>
      </w:r>
      <w:r>
        <w:t>. prosinca 202</w:t>
      </w:r>
      <w:r w:rsidR="00E76997">
        <w:t>5</w:t>
      </w:r>
      <w:r>
        <w:t xml:space="preserve">., a objavljeni su u "Službenim novinama" Općine Jelenje broj </w:t>
      </w:r>
      <w:r w:rsidR="00E76997">
        <w:t>90</w:t>
      </w:r>
      <w:r>
        <w:t>/2</w:t>
      </w:r>
      <w:r w:rsidR="00E76997">
        <w:t>5</w:t>
      </w:r>
      <w:r>
        <w:t xml:space="preserve"> od </w:t>
      </w:r>
      <w:r w:rsidR="00E76997">
        <w:t>23</w:t>
      </w:r>
      <w:r>
        <w:t>. prosinca 202</w:t>
      </w:r>
      <w:r w:rsidR="00E76997">
        <w:t>5</w:t>
      </w:r>
      <w:r>
        <w:t xml:space="preserve">.g.  </w:t>
      </w:r>
      <w:r>
        <w:rPr>
          <w:rFonts w:ascii="Calibri" w:eastAsia="Calibri" w:hAnsi="Calibri" w:cs="Calibri"/>
        </w:rPr>
        <w:t xml:space="preserve"> </w:t>
      </w:r>
    </w:p>
    <w:p w14:paraId="2669895F" w14:textId="675BE379" w:rsidR="00476EB7" w:rsidRDefault="00000000">
      <w:pPr>
        <w:ind w:left="5" w:right="0"/>
      </w:pPr>
      <w:r>
        <w:t>Planirani iznos prihoda i primitaka za 202</w:t>
      </w:r>
      <w:r w:rsidR="00E76997">
        <w:t>6</w:t>
      </w:r>
      <w:r>
        <w:t xml:space="preserve">. godinu te rashoda i izdataka utvrđen je u iznosu od </w:t>
      </w:r>
      <w:r w:rsidR="00E76997">
        <w:t>8</w:t>
      </w:r>
      <w:r>
        <w:t>.</w:t>
      </w:r>
      <w:r w:rsidR="00E76997">
        <w:t>400</w:t>
      </w:r>
      <w:r>
        <w:t xml:space="preserve">.000,00 eura. </w:t>
      </w:r>
      <w:r>
        <w:rPr>
          <w:rFonts w:ascii="Calibri" w:eastAsia="Calibri" w:hAnsi="Calibri" w:cs="Calibri"/>
        </w:rPr>
        <w:t xml:space="preserve"> </w:t>
      </w:r>
    </w:p>
    <w:p w14:paraId="39C7BC7B" w14:textId="72DB71A3" w:rsidR="00476EB7" w:rsidRDefault="00000000">
      <w:pPr>
        <w:ind w:left="5" w:right="0"/>
      </w:pPr>
      <w:r>
        <w:t>Predloženim prvim izmjenama i dopunama Proračun za 202</w:t>
      </w:r>
      <w:r w:rsidR="00E76997">
        <w:t>6</w:t>
      </w:r>
      <w:r>
        <w:t xml:space="preserve">. godinu se povećava za </w:t>
      </w:r>
      <w:r w:rsidR="00157B61">
        <w:t>108</w:t>
      </w:r>
      <w:r w:rsidR="00E76997">
        <w:t>.000</w:t>
      </w:r>
      <w:r>
        <w:t>,00 eura (</w:t>
      </w:r>
      <w:r w:rsidR="00157B61">
        <w:t>1</w:t>
      </w:r>
      <w:r w:rsidR="00E76997">
        <w:t>,</w:t>
      </w:r>
      <w:r w:rsidR="00157B61">
        <w:t>3</w:t>
      </w:r>
      <w:r>
        <w:t>%) pa planirani iznos prihoda i primitka za 202</w:t>
      </w:r>
      <w:r w:rsidR="00E76997">
        <w:t>6</w:t>
      </w:r>
      <w:r>
        <w:t xml:space="preserve">. iznosi </w:t>
      </w:r>
      <w:r w:rsidR="00E76997">
        <w:t>8</w:t>
      </w:r>
      <w:r>
        <w:t>.</w:t>
      </w:r>
      <w:r w:rsidR="00157B61">
        <w:t>100</w:t>
      </w:r>
      <w:r>
        <w:t>.</w:t>
      </w:r>
      <w:r w:rsidR="00875BCF">
        <w:t>682</w:t>
      </w:r>
      <w:r>
        <w:t>,</w:t>
      </w:r>
      <w:r w:rsidR="00875BCF">
        <w:t>24</w:t>
      </w:r>
      <w:r>
        <w:t xml:space="preserve"> eura uvećan za raspoloživa sredstva iz prethodnih godina u iznosu od </w:t>
      </w:r>
      <w:r w:rsidR="00E76997">
        <w:t>407</w:t>
      </w:r>
      <w:r>
        <w:t>.</w:t>
      </w:r>
      <w:r w:rsidR="00E76997">
        <w:t>317</w:t>
      </w:r>
      <w:r>
        <w:t>,</w:t>
      </w:r>
      <w:r w:rsidR="00E76997">
        <w:t>76</w:t>
      </w:r>
      <w:r>
        <w:t xml:space="preserve"> eura kojim se pokrivaju planirani rashodi i izdaci za 202</w:t>
      </w:r>
      <w:r w:rsidR="00E76997">
        <w:t>6</w:t>
      </w:r>
      <w:r>
        <w:t xml:space="preserve">. godinu u iznosu od </w:t>
      </w:r>
      <w:r w:rsidR="007F11EA">
        <w:t>8</w:t>
      </w:r>
      <w:r>
        <w:t>.</w:t>
      </w:r>
      <w:r w:rsidR="00157B61">
        <w:t>508</w:t>
      </w:r>
      <w:r>
        <w:t>.</w:t>
      </w:r>
      <w:r w:rsidR="00E76997">
        <w:t>0</w:t>
      </w:r>
      <w:r>
        <w:t xml:space="preserve">00,00 eura. </w:t>
      </w:r>
    </w:p>
    <w:p w14:paraId="3E9692A6" w14:textId="77777777" w:rsidR="00476EB7" w:rsidRDefault="00000000">
      <w:pPr>
        <w:ind w:left="5" w:right="0"/>
      </w:pPr>
      <w:r>
        <w:t>Prvim izmjenama i dopunama proračuna obuhvaćene su sve nužne promjene planskih iznosa koje proizlaze iz dosadašnjeg tijeka izvršavanja proračuna te procjene ostvarenja do kraja godine.</w:t>
      </w:r>
      <w:r>
        <w:rPr>
          <w:rFonts w:ascii="Calibri" w:eastAsia="Calibri" w:hAnsi="Calibri" w:cs="Calibri"/>
        </w:rPr>
        <w:t xml:space="preserve"> </w:t>
      </w:r>
    </w:p>
    <w:p w14:paraId="3184CD96" w14:textId="7A4F187D" w:rsidR="00476EB7" w:rsidRDefault="00000000">
      <w:pPr>
        <w:spacing w:after="162"/>
        <w:ind w:left="5" w:right="0"/>
      </w:pPr>
      <w:r>
        <w:t>Prve izmjene i dopune proračuna za 202</w:t>
      </w:r>
      <w:r w:rsidR="00E76997">
        <w:t>6</w:t>
      </w:r>
      <w:r>
        <w:t xml:space="preserve">. godinu, izrađene su u skladu sa Pravilnikom o proračunskim klasifikacijama (Narodne novine </w:t>
      </w:r>
      <w:r w:rsidR="007F11EA">
        <w:t>0</w:t>
      </w:r>
      <w:r>
        <w:t xml:space="preserve">4/24), kako slijedi: </w:t>
      </w:r>
      <w:r>
        <w:rPr>
          <w:rFonts w:ascii="Calibri" w:eastAsia="Calibri" w:hAnsi="Calibri" w:cs="Calibri"/>
        </w:rPr>
        <w:t xml:space="preserve"> </w:t>
      </w:r>
    </w:p>
    <w:p w14:paraId="4ECFC0D1" w14:textId="77777777" w:rsidR="00476EB7" w:rsidRDefault="00000000">
      <w:pPr>
        <w:numPr>
          <w:ilvl w:val="0"/>
          <w:numId w:val="2"/>
        </w:numPr>
        <w:spacing w:after="160"/>
        <w:ind w:right="0" w:hanging="329"/>
      </w:pPr>
      <w:r>
        <w:t xml:space="preserve">Proračunska klasifikacija po izvorima financiranja </w:t>
      </w:r>
      <w:r>
        <w:rPr>
          <w:rFonts w:ascii="Calibri" w:eastAsia="Calibri" w:hAnsi="Calibri" w:cs="Calibri"/>
        </w:rPr>
        <w:t xml:space="preserve"> </w:t>
      </w:r>
    </w:p>
    <w:p w14:paraId="1324FD27" w14:textId="77777777" w:rsidR="00476EB7" w:rsidRDefault="00000000">
      <w:pPr>
        <w:numPr>
          <w:ilvl w:val="0"/>
          <w:numId w:val="2"/>
        </w:numPr>
        <w:spacing w:after="160"/>
        <w:ind w:right="0" w:hanging="329"/>
      </w:pPr>
      <w:r>
        <w:t xml:space="preserve">Ekonomska klasifikacija na nivo skupine,  </w:t>
      </w:r>
      <w:r>
        <w:rPr>
          <w:rFonts w:ascii="Calibri" w:eastAsia="Calibri" w:hAnsi="Calibri" w:cs="Calibri"/>
        </w:rPr>
        <w:t xml:space="preserve"> </w:t>
      </w:r>
    </w:p>
    <w:p w14:paraId="0D1071E0" w14:textId="77777777" w:rsidR="00476EB7" w:rsidRDefault="00000000">
      <w:pPr>
        <w:numPr>
          <w:ilvl w:val="0"/>
          <w:numId w:val="2"/>
        </w:numPr>
        <w:spacing w:after="157"/>
        <w:ind w:right="0" w:hanging="329"/>
      </w:pPr>
      <w:r>
        <w:t xml:space="preserve">Organizacijska struktura na dva razdjela: Općinsko vijeće i načelnik te Jedinstveni upravni odjel. Unutar Razdjela Općinsko vijeće i načelnika postoje dvije glave: prva je Općinsko vijeće, a druga Načelnik. Kod drugog razdjela glava je istog naziva. </w:t>
      </w:r>
      <w:r>
        <w:rPr>
          <w:rFonts w:ascii="Calibri" w:eastAsia="Calibri" w:hAnsi="Calibri" w:cs="Calibri"/>
        </w:rPr>
        <w:t xml:space="preserve"> </w:t>
      </w:r>
    </w:p>
    <w:p w14:paraId="4AED5466" w14:textId="77777777" w:rsidR="00476EB7" w:rsidRDefault="00000000">
      <w:pPr>
        <w:numPr>
          <w:ilvl w:val="0"/>
          <w:numId w:val="2"/>
        </w:numPr>
        <w:spacing w:after="160"/>
        <w:ind w:right="0" w:hanging="329"/>
      </w:pPr>
      <w:r>
        <w:t xml:space="preserve">Programska klasifikacija </w:t>
      </w:r>
      <w:r>
        <w:rPr>
          <w:rFonts w:ascii="Calibri" w:eastAsia="Calibri" w:hAnsi="Calibri" w:cs="Calibri"/>
        </w:rPr>
        <w:t xml:space="preserve"> </w:t>
      </w:r>
    </w:p>
    <w:p w14:paraId="0DCBA579" w14:textId="77777777" w:rsidR="00476EB7" w:rsidRDefault="00000000">
      <w:pPr>
        <w:numPr>
          <w:ilvl w:val="0"/>
          <w:numId w:val="2"/>
        </w:numPr>
        <w:ind w:right="0" w:hanging="329"/>
      </w:pPr>
      <w:r>
        <w:t xml:space="preserve">Funkcijska klasifikacija </w:t>
      </w:r>
      <w:r>
        <w:rPr>
          <w:rFonts w:ascii="Calibri" w:eastAsia="Calibri" w:hAnsi="Calibri" w:cs="Calibri"/>
        </w:rPr>
        <w:t xml:space="preserve"> </w:t>
      </w:r>
    </w:p>
    <w:p w14:paraId="5392CBC0" w14:textId="6794F180" w:rsidR="008D2870" w:rsidRDefault="00000000" w:rsidP="00BC1332">
      <w:pPr>
        <w:ind w:left="5" w:right="0"/>
        <w:rPr>
          <w:b/>
        </w:rPr>
      </w:pPr>
      <w:r>
        <w:t>Izmjenama i dopunama proračuna uravnotežuju se prihodovna i rashodovna strana u skladu sa Zakonom o proračunu</w:t>
      </w:r>
      <w:r w:rsidR="00BC1332">
        <w:t>, uključuje se konačni rezultat poslovanja za prethodnu godinu temeljem Odluke o raspodjeli rezultata, uključuju se novi projekti</w:t>
      </w:r>
      <w:r w:rsidR="00157B61">
        <w:t xml:space="preserve">, buduće </w:t>
      </w:r>
      <w:r w:rsidR="00BC1332">
        <w:t>ugovorne obveze te se vrši usklađenje s uputama Ministarstva financija.</w:t>
      </w:r>
    </w:p>
    <w:p w14:paraId="419F7238" w14:textId="77777777" w:rsidR="008D2870" w:rsidRDefault="008D2870">
      <w:pPr>
        <w:spacing w:after="133" w:line="261" w:lineRule="auto"/>
        <w:ind w:left="-5" w:right="0"/>
        <w:rPr>
          <w:b/>
        </w:rPr>
      </w:pPr>
    </w:p>
    <w:p w14:paraId="1CEDB6A5" w14:textId="77777777" w:rsidR="008D2870" w:rsidRDefault="008D2870">
      <w:pPr>
        <w:spacing w:after="133" w:line="261" w:lineRule="auto"/>
        <w:ind w:left="-5" w:right="0"/>
        <w:rPr>
          <w:b/>
        </w:rPr>
      </w:pPr>
    </w:p>
    <w:p w14:paraId="6684ABC9" w14:textId="77777777" w:rsidR="008D2870" w:rsidRDefault="008D2870">
      <w:pPr>
        <w:spacing w:after="133" w:line="261" w:lineRule="auto"/>
        <w:ind w:left="-5" w:right="0"/>
        <w:rPr>
          <w:b/>
        </w:rPr>
      </w:pPr>
    </w:p>
    <w:p w14:paraId="0ABF21AE" w14:textId="77777777" w:rsidR="008D2870" w:rsidRDefault="008D2870">
      <w:pPr>
        <w:spacing w:after="133" w:line="261" w:lineRule="auto"/>
        <w:ind w:left="-5" w:right="0"/>
        <w:rPr>
          <w:b/>
        </w:rPr>
      </w:pPr>
    </w:p>
    <w:p w14:paraId="617BB3A6" w14:textId="77777777" w:rsidR="008D2870" w:rsidRDefault="008D2870">
      <w:pPr>
        <w:spacing w:after="133" w:line="261" w:lineRule="auto"/>
        <w:ind w:left="-5" w:right="0"/>
        <w:rPr>
          <w:b/>
        </w:rPr>
      </w:pPr>
    </w:p>
    <w:p w14:paraId="61A7E449" w14:textId="77777777" w:rsidR="008D2870" w:rsidRDefault="008D2870">
      <w:pPr>
        <w:spacing w:after="133" w:line="261" w:lineRule="auto"/>
        <w:ind w:left="-5" w:right="0"/>
        <w:rPr>
          <w:b/>
        </w:rPr>
      </w:pPr>
    </w:p>
    <w:p w14:paraId="00ED9D77" w14:textId="77777777" w:rsidR="008D2870" w:rsidRDefault="008D2870">
      <w:pPr>
        <w:spacing w:after="133" w:line="261" w:lineRule="auto"/>
        <w:ind w:left="-5" w:right="0"/>
        <w:rPr>
          <w:b/>
        </w:rPr>
      </w:pPr>
    </w:p>
    <w:p w14:paraId="36BE82A6" w14:textId="77777777" w:rsidR="00476EB7" w:rsidRDefault="00000000">
      <w:pPr>
        <w:spacing w:after="133" w:line="261" w:lineRule="auto"/>
        <w:ind w:left="-5" w:right="0"/>
      </w:pPr>
      <w:r>
        <w:rPr>
          <w:b/>
        </w:rPr>
        <w:lastRenderedPageBreak/>
        <w:t xml:space="preserve">PRIHODI I PRIMICI </w:t>
      </w:r>
      <w:r>
        <w:rPr>
          <w:rFonts w:ascii="Calibri" w:eastAsia="Calibri" w:hAnsi="Calibri" w:cs="Calibri"/>
        </w:rPr>
        <w:t xml:space="preserve"> </w:t>
      </w:r>
    </w:p>
    <w:p w14:paraId="45A6D86C" w14:textId="7D39E2A4" w:rsidR="00476EB7" w:rsidRDefault="00000000">
      <w:pPr>
        <w:spacing w:after="158"/>
        <w:ind w:left="5" w:right="0"/>
      </w:pPr>
      <w:r>
        <w:t>Prvim izmjenama i dopunama Proračuna Prihodi i primici za 202</w:t>
      </w:r>
      <w:r w:rsidR="00E76997">
        <w:t>6</w:t>
      </w:r>
      <w:r>
        <w:t xml:space="preserve">. godinu izmijenjeni su te glase kako slijedi: </w:t>
      </w:r>
    </w:p>
    <w:p w14:paraId="2CC97C6E" w14:textId="77777777" w:rsidR="00476EB7" w:rsidRDefault="00000000">
      <w:pPr>
        <w:spacing w:after="0" w:line="261" w:lineRule="auto"/>
        <w:ind w:left="-5" w:right="0"/>
      </w:pPr>
      <w:r>
        <w:t xml:space="preserve"> </w:t>
      </w:r>
      <w:r>
        <w:rPr>
          <w:b/>
        </w:rPr>
        <w:t xml:space="preserve">Tabela 1: </w:t>
      </w:r>
      <w:r w:rsidRPr="00E153C7">
        <w:rPr>
          <w:b/>
        </w:rPr>
        <w:t>Usporedba prihoda Proračuna Općine Jelenje prema visini i vrsti prihoda</w:t>
      </w:r>
      <w:r>
        <w:t xml:space="preserve">  </w:t>
      </w:r>
    </w:p>
    <w:tbl>
      <w:tblPr>
        <w:tblStyle w:val="TableGrid"/>
        <w:tblW w:w="9495" w:type="dxa"/>
        <w:tblInd w:w="49" w:type="dxa"/>
        <w:tblCellMar>
          <w:top w:w="62" w:type="dxa"/>
          <w:left w:w="484" w:type="dxa"/>
          <w:right w:w="26" w:type="dxa"/>
        </w:tblCellMar>
        <w:tblLook w:val="04A0" w:firstRow="1" w:lastRow="0" w:firstColumn="1" w:lastColumn="0" w:noHBand="0" w:noVBand="1"/>
      </w:tblPr>
      <w:tblGrid>
        <w:gridCol w:w="3610"/>
        <w:gridCol w:w="1411"/>
        <w:gridCol w:w="1551"/>
        <w:gridCol w:w="1805"/>
        <w:gridCol w:w="1118"/>
      </w:tblGrid>
      <w:tr w:rsidR="00476EB7" w14:paraId="28AA826E" w14:textId="77777777" w:rsidTr="00CF3AD0">
        <w:trPr>
          <w:trHeight w:val="520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8B74F98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4"/>
              </w:rPr>
              <w:t xml:space="preserve">PRIHODI I PRIMICI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B754692" w14:textId="395CB30E" w:rsidR="00476EB7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14"/>
              </w:rPr>
              <w:t>PLAN 202</w:t>
            </w:r>
            <w:r w:rsidR="00E76997">
              <w:rPr>
                <w:b/>
                <w:sz w:val="14"/>
              </w:rPr>
              <w:t>6</w:t>
            </w:r>
            <w:r>
              <w:rPr>
                <w:b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  <w:p w14:paraId="1D212C67" w14:textId="77777777" w:rsidR="00476EB7" w:rsidRDefault="00000000">
            <w:pPr>
              <w:spacing w:after="0" w:line="259" w:lineRule="auto"/>
              <w:ind w:left="0" w:right="580" w:firstLine="0"/>
              <w:jc w:val="center"/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eur</w:t>
            </w:r>
            <w:proofErr w:type="spellEnd"/>
            <w:r>
              <w:rPr>
                <w:b/>
                <w:sz w:val="14"/>
              </w:rPr>
              <w:t xml:space="preserve">)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CB12B56" w14:textId="77777777" w:rsidR="00476EB7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14"/>
              </w:rPr>
              <w:t xml:space="preserve">SMANJENJE/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  <w:p w14:paraId="53D83365" w14:textId="77777777" w:rsidR="00476EB7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14"/>
              </w:rPr>
              <w:t xml:space="preserve">POVEĆANJE </w:t>
            </w:r>
          </w:p>
          <w:p w14:paraId="28388987" w14:textId="77777777" w:rsidR="00476EB7" w:rsidRDefault="00000000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eur</w:t>
            </w:r>
            <w:proofErr w:type="spellEnd"/>
            <w:r>
              <w:rPr>
                <w:b/>
                <w:sz w:val="14"/>
              </w:rPr>
              <w:t xml:space="preserve">)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C00BFBC" w14:textId="2CCD7E0A" w:rsidR="00476EB7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14"/>
              </w:rPr>
              <w:t>NOVI PLAN 202</w:t>
            </w:r>
            <w:r w:rsidR="00E76997">
              <w:rPr>
                <w:b/>
                <w:sz w:val="14"/>
              </w:rPr>
              <w:t>6</w:t>
            </w:r>
            <w:r>
              <w:rPr>
                <w:b/>
                <w:sz w:val="14"/>
              </w:rPr>
              <w:t xml:space="preserve"> </w:t>
            </w:r>
          </w:p>
          <w:p w14:paraId="63C851E8" w14:textId="77777777" w:rsidR="00476EB7" w:rsidRDefault="00000000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eur</w:t>
            </w:r>
            <w:proofErr w:type="spellEnd"/>
            <w:r>
              <w:rPr>
                <w:b/>
                <w:sz w:val="14"/>
              </w:rPr>
              <w:t xml:space="preserve">)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6FB1D7B" w14:textId="77777777" w:rsidR="00476EB7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14"/>
              </w:rPr>
              <w:t xml:space="preserve">INDEX </w:t>
            </w:r>
          </w:p>
          <w:p w14:paraId="3AA6B640" w14:textId="77777777" w:rsidR="00476EB7" w:rsidRDefault="00000000">
            <w:pPr>
              <w:spacing w:after="0" w:line="259" w:lineRule="auto"/>
              <w:ind w:left="0" w:right="292" w:firstLine="0"/>
              <w:jc w:val="center"/>
            </w:pPr>
            <w:r>
              <w:rPr>
                <w:b/>
                <w:sz w:val="14"/>
              </w:rPr>
              <w:t xml:space="preserve">(3/1)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</w:tr>
      <w:tr w:rsidR="00476EB7" w14:paraId="22FDD764" w14:textId="77777777" w:rsidTr="00CF3AD0">
        <w:trPr>
          <w:trHeight w:val="302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6CE2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F96A" w14:textId="77777777" w:rsidR="00476EB7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4"/>
              </w:rPr>
              <w:t xml:space="preserve">1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0CC8" w14:textId="77777777" w:rsidR="00476EB7" w:rsidRDefault="00000000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14"/>
              </w:rPr>
              <w:t xml:space="preserve">2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341E" w14:textId="77777777" w:rsidR="00476EB7" w:rsidRDefault="00000000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14"/>
              </w:rPr>
              <w:t xml:space="preserve">3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261D" w14:textId="77777777" w:rsidR="00476EB7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4"/>
              </w:rPr>
              <w:t xml:space="preserve">4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</w:tr>
      <w:tr w:rsidR="00476EB7" w14:paraId="32111D9D" w14:textId="77777777" w:rsidTr="00CF3AD0">
        <w:trPr>
          <w:trHeight w:val="300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DB49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Prihodi od poreza (61)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760E" w14:textId="06EB0A00" w:rsidR="00476EB7" w:rsidRDefault="009A12D5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3.5</w:t>
            </w:r>
            <w:r w:rsidR="004D0D83">
              <w:rPr>
                <w:sz w:val="14"/>
              </w:rPr>
              <w:t>0</w:t>
            </w:r>
            <w:r>
              <w:rPr>
                <w:sz w:val="14"/>
              </w:rPr>
              <w:t>5.0</w:t>
            </w:r>
            <w:r w:rsidR="004D0D83">
              <w:rPr>
                <w:sz w:val="14"/>
              </w:rPr>
              <w:t>19</w:t>
            </w:r>
            <w:r>
              <w:rPr>
                <w:sz w:val="14"/>
              </w:rPr>
              <w:t xml:space="preserve">,00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DEB6" w14:textId="1EEAC545" w:rsidR="00476EB7" w:rsidRDefault="00157B61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14"/>
              </w:rPr>
              <w:t>501</w:t>
            </w:r>
            <w:r w:rsidR="004D0D83">
              <w:rPr>
                <w:sz w:val="14"/>
              </w:rPr>
              <w:t>.</w:t>
            </w:r>
            <w:r>
              <w:rPr>
                <w:sz w:val="14"/>
              </w:rPr>
              <w:t>918</w:t>
            </w:r>
            <w:r w:rsidR="009A12D5">
              <w:rPr>
                <w:sz w:val="14"/>
              </w:rPr>
              <w:t>,</w:t>
            </w:r>
            <w:r>
              <w:rPr>
                <w:sz w:val="14"/>
              </w:rPr>
              <w:t>00</w:t>
            </w:r>
            <w:r w:rsidR="009A12D5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CDF8" w14:textId="249B1C8E" w:rsidR="00476EB7" w:rsidRDefault="00157B61">
            <w:pPr>
              <w:spacing w:after="0" w:line="259" w:lineRule="auto"/>
              <w:ind w:left="0" w:right="75" w:firstLine="0"/>
              <w:jc w:val="right"/>
            </w:pPr>
            <w:r>
              <w:rPr>
                <w:sz w:val="14"/>
              </w:rPr>
              <w:t>4</w:t>
            </w:r>
            <w:r w:rsidR="009A12D5">
              <w:rPr>
                <w:sz w:val="14"/>
              </w:rPr>
              <w:t>.</w:t>
            </w:r>
            <w:r>
              <w:rPr>
                <w:sz w:val="14"/>
              </w:rPr>
              <w:t>006</w:t>
            </w:r>
            <w:r w:rsidR="009A12D5">
              <w:rPr>
                <w:sz w:val="14"/>
              </w:rPr>
              <w:t>.</w:t>
            </w:r>
            <w:r>
              <w:rPr>
                <w:sz w:val="14"/>
              </w:rPr>
              <w:t>931</w:t>
            </w:r>
            <w:r w:rsidR="009A12D5">
              <w:rPr>
                <w:sz w:val="14"/>
              </w:rPr>
              <w:t>,</w:t>
            </w:r>
            <w:r>
              <w:rPr>
                <w:sz w:val="14"/>
              </w:rPr>
              <w:t>00</w:t>
            </w:r>
            <w:r w:rsidR="009A12D5">
              <w:rPr>
                <w:sz w:val="14"/>
              </w:rPr>
              <w:t xml:space="preserve"> </w:t>
            </w:r>
            <w:r w:rsidR="009A12D5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ABD7" w14:textId="2A96B187" w:rsidR="00476EB7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1</w:t>
            </w:r>
            <w:r w:rsidR="004D0D83">
              <w:rPr>
                <w:sz w:val="14"/>
              </w:rPr>
              <w:t>1</w:t>
            </w:r>
            <w:r w:rsidR="00157B61">
              <w:rPr>
                <w:sz w:val="14"/>
              </w:rPr>
              <w:t>4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</w:tr>
      <w:tr w:rsidR="00476EB7" w14:paraId="1EA29BD0" w14:textId="77777777" w:rsidTr="00CF3AD0">
        <w:trPr>
          <w:trHeight w:val="298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E6F3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Pomoći (63)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ED16" w14:textId="3D9B6674" w:rsidR="00476EB7" w:rsidRDefault="009A12D5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14"/>
              </w:rPr>
              <w:t>2.</w:t>
            </w:r>
            <w:r w:rsidR="004D0D83">
              <w:rPr>
                <w:sz w:val="14"/>
              </w:rPr>
              <w:t>897</w:t>
            </w:r>
            <w:r>
              <w:rPr>
                <w:sz w:val="14"/>
              </w:rPr>
              <w:t>.</w:t>
            </w:r>
            <w:r w:rsidR="004D0D83">
              <w:rPr>
                <w:sz w:val="14"/>
              </w:rPr>
              <w:t>211</w:t>
            </w:r>
            <w:r>
              <w:rPr>
                <w:sz w:val="14"/>
              </w:rPr>
              <w:t xml:space="preserve">,00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6C04" w14:textId="5A8D9B8F" w:rsidR="00476EB7" w:rsidRDefault="004D0D83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14"/>
              </w:rPr>
              <w:t>9</w:t>
            </w:r>
            <w:r w:rsidR="00157B61">
              <w:rPr>
                <w:sz w:val="14"/>
              </w:rPr>
              <w:t>7</w:t>
            </w:r>
            <w:r>
              <w:rPr>
                <w:sz w:val="14"/>
              </w:rPr>
              <w:t>.</w:t>
            </w:r>
            <w:r w:rsidR="00157B61">
              <w:rPr>
                <w:sz w:val="14"/>
              </w:rPr>
              <w:t>906</w:t>
            </w:r>
            <w:r>
              <w:rPr>
                <w:sz w:val="14"/>
              </w:rPr>
              <w:t>,</w:t>
            </w:r>
            <w:r w:rsidR="00157B61">
              <w:rPr>
                <w:sz w:val="14"/>
              </w:rPr>
              <w:t>37</w:t>
            </w:r>
            <w:r>
              <w:rPr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539" w14:textId="37AD31F1" w:rsidR="00476EB7" w:rsidRDefault="004D0D83">
            <w:pPr>
              <w:spacing w:after="0" w:line="259" w:lineRule="auto"/>
              <w:ind w:left="0" w:right="75" w:firstLine="0"/>
              <w:jc w:val="right"/>
            </w:pPr>
            <w:r>
              <w:rPr>
                <w:sz w:val="14"/>
              </w:rPr>
              <w:t>2</w:t>
            </w:r>
            <w:r w:rsidR="009A12D5">
              <w:rPr>
                <w:sz w:val="14"/>
              </w:rPr>
              <w:t>.</w:t>
            </w:r>
            <w:r>
              <w:rPr>
                <w:sz w:val="14"/>
              </w:rPr>
              <w:t>9</w:t>
            </w:r>
            <w:r w:rsidR="00157B61">
              <w:rPr>
                <w:sz w:val="14"/>
              </w:rPr>
              <w:t>95</w:t>
            </w:r>
            <w:r w:rsidR="009A12D5">
              <w:rPr>
                <w:sz w:val="14"/>
              </w:rPr>
              <w:t>.</w:t>
            </w:r>
            <w:r w:rsidR="00157B61">
              <w:rPr>
                <w:sz w:val="14"/>
              </w:rPr>
              <w:t>117</w:t>
            </w:r>
            <w:r w:rsidR="009A12D5">
              <w:rPr>
                <w:sz w:val="14"/>
              </w:rPr>
              <w:t>,</w:t>
            </w:r>
            <w:r w:rsidR="00157B61">
              <w:rPr>
                <w:sz w:val="14"/>
              </w:rPr>
              <w:t>37</w:t>
            </w:r>
            <w:r w:rsidR="009A12D5">
              <w:rPr>
                <w:sz w:val="14"/>
              </w:rPr>
              <w:t xml:space="preserve"> </w:t>
            </w:r>
            <w:r w:rsidR="009A12D5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4EED" w14:textId="5B166364" w:rsidR="00476EB7" w:rsidRDefault="009A12D5">
            <w:pPr>
              <w:spacing w:after="0" w:line="259" w:lineRule="auto"/>
              <w:ind w:left="0" w:right="72" w:firstLine="0"/>
              <w:jc w:val="right"/>
            </w:pPr>
            <w:r>
              <w:rPr>
                <w:sz w:val="14"/>
              </w:rPr>
              <w:t>1</w:t>
            </w:r>
            <w:r w:rsidR="004D0D83">
              <w:rPr>
                <w:sz w:val="14"/>
              </w:rPr>
              <w:t>0</w:t>
            </w:r>
            <w:r w:rsidR="00157B61">
              <w:rPr>
                <w:sz w:val="14"/>
              </w:rPr>
              <w:t>3</w:t>
            </w:r>
            <w:r>
              <w:rPr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</w:tr>
      <w:tr w:rsidR="00476EB7" w14:paraId="4782C8D2" w14:textId="77777777" w:rsidTr="00CF3AD0">
        <w:trPr>
          <w:trHeight w:val="298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3980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Prihodi od imovine (64)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D385" w14:textId="003CC039" w:rsidR="00476EB7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27</w:t>
            </w:r>
            <w:r w:rsidR="004D0D83">
              <w:rPr>
                <w:sz w:val="14"/>
              </w:rPr>
              <w:t>6</w:t>
            </w:r>
            <w:r>
              <w:rPr>
                <w:sz w:val="14"/>
              </w:rPr>
              <w:t>.</w:t>
            </w:r>
            <w:r w:rsidR="004D0D83">
              <w:rPr>
                <w:sz w:val="14"/>
              </w:rPr>
              <w:t>620</w:t>
            </w:r>
            <w:r>
              <w:rPr>
                <w:sz w:val="14"/>
              </w:rPr>
              <w:t xml:space="preserve">,00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5DFE" w14:textId="797AC1C5" w:rsidR="00476EB7" w:rsidRDefault="004D0D83">
            <w:pPr>
              <w:spacing w:after="0" w:line="259" w:lineRule="auto"/>
              <w:ind w:left="0" w:right="77" w:firstLine="0"/>
              <w:jc w:val="right"/>
            </w:pPr>
            <w:r>
              <w:rPr>
                <w:sz w:val="14"/>
              </w:rPr>
              <w:t>32.00</w:t>
            </w:r>
            <w:r w:rsidR="00CF3AD0">
              <w:rPr>
                <w:sz w:val="14"/>
              </w:rPr>
              <w:t xml:space="preserve">0,00 </w:t>
            </w:r>
            <w:r w:rsidR="00CF3AD0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E0D2" w14:textId="1FC9E9CE" w:rsidR="00476EB7" w:rsidRDefault="004D0D83">
            <w:pPr>
              <w:spacing w:after="0" w:line="259" w:lineRule="auto"/>
              <w:ind w:left="0" w:right="75" w:firstLine="0"/>
              <w:jc w:val="right"/>
            </w:pPr>
            <w:r>
              <w:rPr>
                <w:sz w:val="14"/>
              </w:rPr>
              <w:t>308</w:t>
            </w:r>
            <w:r w:rsidR="00CF3AD0">
              <w:rPr>
                <w:sz w:val="14"/>
              </w:rPr>
              <w:t>.</w:t>
            </w:r>
            <w:r>
              <w:rPr>
                <w:sz w:val="14"/>
              </w:rPr>
              <w:t>6</w:t>
            </w:r>
            <w:r w:rsidR="00CF3AD0">
              <w:rPr>
                <w:sz w:val="14"/>
              </w:rPr>
              <w:t xml:space="preserve">20,00 </w:t>
            </w:r>
            <w:r w:rsidR="00CF3AD0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A264" w14:textId="7A3A9DFC" w:rsidR="00476EB7" w:rsidRDefault="00000000">
            <w:pPr>
              <w:spacing w:after="0" w:line="259" w:lineRule="auto"/>
              <w:ind w:left="0" w:right="72" w:firstLine="0"/>
              <w:jc w:val="right"/>
            </w:pPr>
            <w:r>
              <w:rPr>
                <w:sz w:val="14"/>
              </w:rPr>
              <w:t>1</w:t>
            </w:r>
            <w:r w:rsidR="004D0D83">
              <w:rPr>
                <w:sz w:val="14"/>
              </w:rPr>
              <w:t>12</w:t>
            </w:r>
            <w:r>
              <w:rPr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</w:tr>
      <w:tr w:rsidR="00476EB7" w14:paraId="439A298F" w14:textId="77777777" w:rsidTr="00CF3AD0">
        <w:trPr>
          <w:trHeight w:val="278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E8BE" w14:textId="77777777" w:rsidR="00476EB7" w:rsidRDefault="00CF3A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Prihodi od upravnih </w:t>
            </w:r>
            <w:proofErr w:type="spellStart"/>
            <w:r>
              <w:rPr>
                <w:sz w:val="14"/>
              </w:rPr>
              <w:t>prist</w:t>
            </w:r>
            <w:proofErr w:type="spellEnd"/>
            <w:r>
              <w:rPr>
                <w:sz w:val="14"/>
              </w:rPr>
              <w:t xml:space="preserve">. i po </w:t>
            </w:r>
            <w:proofErr w:type="spellStart"/>
            <w:r>
              <w:rPr>
                <w:sz w:val="14"/>
              </w:rPr>
              <w:t>pos.prop</w:t>
            </w:r>
            <w:proofErr w:type="spellEnd"/>
            <w:r>
              <w:rPr>
                <w:sz w:val="14"/>
              </w:rPr>
              <w:t>. i naknada (</w:t>
            </w:r>
            <w:proofErr w:type="spellStart"/>
            <w:r>
              <w:rPr>
                <w:sz w:val="14"/>
              </w:rPr>
              <w:t>kom.naknada</w:t>
            </w:r>
            <w:proofErr w:type="spellEnd"/>
            <w:r>
              <w:rPr>
                <w:sz w:val="14"/>
              </w:rPr>
              <w:t xml:space="preserve"> i doprinosi) (65)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B3A9" w14:textId="23D8F794" w:rsidR="00476EB7" w:rsidRDefault="004D0D83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582</w:t>
            </w:r>
            <w:r w:rsidR="00CF3AD0">
              <w:rPr>
                <w:sz w:val="14"/>
              </w:rPr>
              <w:t>.</w:t>
            </w:r>
            <w:r>
              <w:rPr>
                <w:sz w:val="14"/>
              </w:rPr>
              <w:t>200</w:t>
            </w:r>
            <w:r w:rsidR="00CF3AD0">
              <w:rPr>
                <w:sz w:val="14"/>
              </w:rPr>
              <w:t xml:space="preserve">,00 </w:t>
            </w:r>
            <w:r w:rsidR="00CF3AD0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574D" w14:textId="5114013E" w:rsidR="00476EB7" w:rsidRDefault="004D0D83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14"/>
              </w:rPr>
              <w:t>-28</w:t>
            </w:r>
            <w:r w:rsidR="00CF3AD0">
              <w:rPr>
                <w:sz w:val="14"/>
              </w:rPr>
              <w:t>.</w:t>
            </w:r>
            <w:r>
              <w:rPr>
                <w:sz w:val="14"/>
              </w:rPr>
              <w:t>192</w:t>
            </w:r>
            <w:r w:rsidR="00CF3AD0">
              <w:rPr>
                <w:sz w:val="14"/>
              </w:rPr>
              <w:t>,</w:t>
            </w:r>
            <w:r>
              <w:rPr>
                <w:sz w:val="14"/>
              </w:rPr>
              <w:t>13</w:t>
            </w:r>
            <w:r w:rsidR="00CF3AD0">
              <w:rPr>
                <w:sz w:val="14"/>
              </w:rPr>
              <w:t xml:space="preserve"> </w:t>
            </w:r>
            <w:r w:rsidR="00CF3AD0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F705" w14:textId="401C699D" w:rsidR="00476EB7" w:rsidRDefault="004D0D83">
            <w:pPr>
              <w:spacing w:after="0" w:line="259" w:lineRule="auto"/>
              <w:ind w:left="0" w:right="77" w:firstLine="0"/>
              <w:jc w:val="right"/>
            </w:pPr>
            <w:r>
              <w:rPr>
                <w:sz w:val="14"/>
              </w:rPr>
              <w:t>554</w:t>
            </w:r>
            <w:r w:rsidR="00CF3AD0">
              <w:rPr>
                <w:sz w:val="14"/>
              </w:rPr>
              <w:t>.</w:t>
            </w:r>
            <w:r>
              <w:rPr>
                <w:sz w:val="14"/>
              </w:rPr>
              <w:t>007</w:t>
            </w:r>
            <w:r w:rsidR="00CF3AD0">
              <w:rPr>
                <w:sz w:val="14"/>
              </w:rPr>
              <w:t>,</w:t>
            </w:r>
            <w:r>
              <w:rPr>
                <w:sz w:val="14"/>
              </w:rPr>
              <w:t>87</w:t>
            </w:r>
            <w:r w:rsidR="00CF3AD0">
              <w:rPr>
                <w:sz w:val="14"/>
              </w:rPr>
              <w:t xml:space="preserve"> </w:t>
            </w:r>
            <w:r w:rsidR="00CF3AD0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50B0" w14:textId="37599FDC" w:rsidR="00476EB7" w:rsidRDefault="004D0D83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95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</w:tr>
      <w:tr w:rsidR="00476EB7" w14:paraId="4D5E2A43" w14:textId="77777777" w:rsidTr="00CF3AD0">
        <w:trPr>
          <w:trHeight w:val="440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2094" w14:textId="77777777" w:rsidR="00476EB7" w:rsidRDefault="00000000">
            <w:pPr>
              <w:spacing w:after="0" w:line="259" w:lineRule="auto"/>
              <w:ind w:right="0"/>
              <w:jc w:val="left"/>
            </w:pPr>
            <w:r>
              <w:rPr>
                <w:sz w:val="14"/>
              </w:rPr>
              <w:t xml:space="preserve">Prihodi o prodaje proizvoda i robe te pruženih usluga i prihodi od donacija (66)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8823" w14:textId="77777777" w:rsidR="00476EB7" w:rsidRDefault="00000000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14"/>
              </w:rPr>
              <w:t xml:space="preserve">26.000,00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6D4C" w14:textId="77777777" w:rsidR="00476EB7" w:rsidRDefault="00000000">
            <w:pPr>
              <w:spacing w:after="0" w:line="259" w:lineRule="auto"/>
              <w:ind w:left="0" w:right="81" w:firstLine="0"/>
              <w:jc w:val="right"/>
            </w:pPr>
            <w:r>
              <w:rPr>
                <w:sz w:val="14"/>
              </w:rPr>
              <w:t xml:space="preserve">0,00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DA80" w14:textId="77777777" w:rsidR="00476EB7" w:rsidRDefault="00000000">
            <w:pPr>
              <w:spacing w:after="0" w:line="259" w:lineRule="auto"/>
              <w:ind w:left="0" w:right="80" w:firstLine="0"/>
              <w:jc w:val="right"/>
            </w:pPr>
            <w:r>
              <w:rPr>
                <w:sz w:val="14"/>
              </w:rPr>
              <w:t xml:space="preserve">26.000,00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0477" w14:textId="77777777" w:rsidR="00476EB7" w:rsidRDefault="00000000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14"/>
              </w:rPr>
              <w:t xml:space="preserve">100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</w:tr>
      <w:tr w:rsidR="00476EB7" w14:paraId="6EA523D4" w14:textId="77777777" w:rsidTr="00CF3AD0">
        <w:trPr>
          <w:trHeight w:val="298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2ECC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Ostalo (68)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1582" w14:textId="77777777" w:rsidR="00476EB7" w:rsidRDefault="00CF3AD0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14"/>
              </w:rPr>
              <w:t xml:space="preserve">10.000,00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0E6A" w14:textId="77777777" w:rsidR="00476EB7" w:rsidRDefault="00000000">
            <w:pPr>
              <w:spacing w:after="0" w:line="259" w:lineRule="auto"/>
              <w:ind w:left="0" w:right="81" w:firstLine="0"/>
              <w:jc w:val="right"/>
            </w:pPr>
            <w:r>
              <w:rPr>
                <w:sz w:val="14"/>
              </w:rPr>
              <w:t xml:space="preserve">0,00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F1D1" w14:textId="77777777" w:rsidR="00476EB7" w:rsidRDefault="00CF3AD0">
            <w:pPr>
              <w:spacing w:after="0" w:line="259" w:lineRule="auto"/>
              <w:ind w:left="0" w:right="82" w:firstLine="0"/>
              <w:jc w:val="right"/>
            </w:pPr>
            <w:r>
              <w:rPr>
                <w:sz w:val="14"/>
              </w:rPr>
              <w:t>10.000,00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BBB0" w14:textId="77777777" w:rsidR="00476EB7" w:rsidRDefault="00000000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14"/>
              </w:rPr>
              <w:t xml:space="preserve">100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</w:tr>
      <w:tr w:rsidR="00476EB7" w14:paraId="331F297C" w14:textId="77777777" w:rsidTr="00CF3AD0">
        <w:trPr>
          <w:trHeight w:val="300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7480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Od prodaje </w:t>
            </w:r>
            <w:proofErr w:type="spellStart"/>
            <w:r>
              <w:rPr>
                <w:sz w:val="14"/>
              </w:rPr>
              <w:t>nefin.imovine</w:t>
            </w:r>
            <w:proofErr w:type="spellEnd"/>
            <w:r>
              <w:rPr>
                <w:sz w:val="14"/>
              </w:rPr>
              <w:t xml:space="preserve"> (7)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2F57" w14:textId="411D5AF7" w:rsidR="00476EB7" w:rsidRDefault="004D0D83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14"/>
              </w:rPr>
              <w:t>200</w:t>
            </w:r>
            <w:r w:rsidR="00CF3AD0">
              <w:rPr>
                <w:sz w:val="14"/>
              </w:rPr>
              <w:t xml:space="preserve">.000,00 </w:t>
            </w:r>
            <w:r w:rsidR="00CF3AD0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D21B" w14:textId="50BE3B68" w:rsidR="00476EB7" w:rsidRDefault="004D0D83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14"/>
              </w:rPr>
              <w:t>0,00</w:t>
            </w:r>
            <w:r w:rsidR="00CF3AD0">
              <w:rPr>
                <w:sz w:val="1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23CF" w14:textId="3AD7C9C6" w:rsidR="00476EB7" w:rsidRDefault="004D0D83">
            <w:pPr>
              <w:spacing w:after="0" w:line="259" w:lineRule="auto"/>
              <w:ind w:left="0" w:right="80" w:firstLine="0"/>
              <w:jc w:val="right"/>
            </w:pPr>
            <w:r>
              <w:rPr>
                <w:sz w:val="14"/>
              </w:rPr>
              <w:t>20</w:t>
            </w:r>
            <w:r w:rsidR="00CF3AD0">
              <w:rPr>
                <w:sz w:val="14"/>
              </w:rPr>
              <w:t xml:space="preserve">0.000,00 </w:t>
            </w:r>
            <w:r w:rsidR="00CF3AD0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9969" w14:textId="1FFEF736" w:rsidR="00476EB7" w:rsidRDefault="004D0D83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14"/>
              </w:rPr>
              <w:t>100</w:t>
            </w:r>
            <w:r w:rsidR="00CF3AD0">
              <w:rPr>
                <w:sz w:val="14"/>
              </w:rPr>
              <w:t xml:space="preserve"> </w:t>
            </w:r>
            <w:r w:rsidR="00CF3AD0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</w:tr>
      <w:tr w:rsidR="00476EB7" w14:paraId="0417F7C5" w14:textId="77777777" w:rsidTr="00FA3974">
        <w:trPr>
          <w:trHeight w:val="29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59CE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Višak prihoda </w:t>
            </w:r>
            <w:proofErr w:type="spellStart"/>
            <w:r>
              <w:rPr>
                <w:sz w:val="14"/>
              </w:rPr>
              <w:t>preth.god</w:t>
            </w:r>
            <w:proofErr w:type="spellEnd"/>
            <w:r>
              <w:rPr>
                <w:sz w:val="14"/>
              </w:rPr>
              <w:t xml:space="preserve">.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12EB" w14:textId="4BDA81F1" w:rsidR="00476EB7" w:rsidRDefault="00CF3AD0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14"/>
              </w:rPr>
              <w:t>9</w:t>
            </w:r>
            <w:r w:rsidR="004D0D83">
              <w:rPr>
                <w:sz w:val="14"/>
              </w:rPr>
              <w:t>0</w:t>
            </w:r>
            <w:r>
              <w:rPr>
                <w:sz w:val="14"/>
              </w:rPr>
              <w:t>2.</w:t>
            </w:r>
            <w:r w:rsidR="004D0D83">
              <w:rPr>
                <w:sz w:val="14"/>
              </w:rPr>
              <w:t>95</w:t>
            </w:r>
            <w:r>
              <w:rPr>
                <w:sz w:val="14"/>
              </w:rPr>
              <w:t xml:space="preserve">0,00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AE78" w14:textId="1D52C2D0" w:rsidR="00476EB7" w:rsidRDefault="00E153C7">
            <w:pPr>
              <w:spacing w:after="0" w:line="259" w:lineRule="auto"/>
              <w:ind w:left="0" w:right="82" w:firstLine="0"/>
              <w:jc w:val="right"/>
            </w:pPr>
            <w:r>
              <w:rPr>
                <w:sz w:val="14"/>
              </w:rPr>
              <w:t>-495.632,24</w:t>
            </w:r>
            <w:r w:rsidR="00FA3974">
              <w:rPr>
                <w:sz w:val="14"/>
              </w:rPr>
              <w:t xml:space="preserve"> </w:t>
            </w:r>
            <w:r w:rsidR="00FA3974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F70D" w14:textId="26EAC8AE" w:rsidR="00476EB7" w:rsidRDefault="004D0D83">
            <w:pPr>
              <w:spacing w:after="0" w:line="259" w:lineRule="auto"/>
              <w:ind w:left="0" w:right="80" w:firstLine="0"/>
              <w:jc w:val="right"/>
            </w:pPr>
            <w:r>
              <w:rPr>
                <w:sz w:val="14"/>
              </w:rPr>
              <w:t>407</w:t>
            </w:r>
            <w:r w:rsidR="00FA3974">
              <w:rPr>
                <w:sz w:val="14"/>
              </w:rPr>
              <w:t>.</w:t>
            </w:r>
            <w:r>
              <w:rPr>
                <w:sz w:val="14"/>
              </w:rPr>
              <w:t>317</w:t>
            </w:r>
            <w:r w:rsidR="00FA3974">
              <w:rPr>
                <w:sz w:val="14"/>
              </w:rPr>
              <w:t>,</w:t>
            </w:r>
            <w:r>
              <w:rPr>
                <w:sz w:val="14"/>
              </w:rPr>
              <w:t>7</w:t>
            </w:r>
            <w:r w:rsidR="00FA3974">
              <w:rPr>
                <w:sz w:val="14"/>
              </w:rPr>
              <w:t xml:space="preserve">6 </w:t>
            </w:r>
            <w:r w:rsidR="00FA3974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2962D" w14:textId="5C7700F8" w:rsidR="00476EB7" w:rsidRDefault="004D0D83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14"/>
              </w:rPr>
              <w:t>55</w:t>
            </w:r>
          </w:p>
        </w:tc>
      </w:tr>
      <w:tr w:rsidR="00476EB7" w14:paraId="14C84802" w14:textId="77777777" w:rsidTr="00FA3974">
        <w:trPr>
          <w:trHeight w:val="350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F59E" w14:textId="77777777" w:rsidR="00476EB7" w:rsidRDefault="00000000">
            <w:pPr>
              <w:spacing w:after="0" w:line="259" w:lineRule="auto"/>
              <w:ind w:left="0" w:right="520" w:firstLine="0"/>
              <w:jc w:val="center"/>
            </w:pPr>
            <w:r>
              <w:rPr>
                <w:sz w:val="14"/>
              </w:rPr>
              <w:t xml:space="preserve">Primici od </w:t>
            </w:r>
            <w:proofErr w:type="spellStart"/>
            <w:r>
              <w:rPr>
                <w:sz w:val="14"/>
              </w:rPr>
              <w:t>financ</w:t>
            </w:r>
            <w:proofErr w:type="spellEnd"/>
            <w:r>
              <w:rPr>
                <w:sz w:val="14"/>
              </w:rPr>
              <w:t xml:space="preserve">. imovine  i zaduženja (8)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78F3" w14:textId="77777777" w:rsidR="00476EB7" w:rsidRDefault="00FA3974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14"/>
              </w:rPr>
              <w:t xml:space="preserve">0,00 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F838" w14:textId="77777777" w:rsidR="00476EB7" w:rsidRDefault="00FA3974">
            <w:pPr>
              <w:spacing w:after="0" w:line="259" w:lineRule="auto"/>
              <w:ind w:left="0" w:right="86" w:firstLine="0"/>
              <w:jc w:val="right"/>
            </w:pPr>
            <w:r>
              <w:rPr>
                <w:sz w:val="14"/>
              </w:rPr>
              <w:t xml:space="preserve">0,00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62C3A" w14:textId="77777777" w:rsidR="00476EB7" w:rsidRDefault="00000000">
            <w:pPr>
              <w:spacing w:after="0" w:line="259" w:lineRule="auto"/>
              <w:ind w:left="0" w:right="82" w:firstLine="0"/>
              <w:jc w:val="right"/>
            </w:pPr>
            <w:r>
              <w:rPr>
                <w:sz w:val="14"/>
              </w:rPr>
              <w:t xml:space="preserve">0,00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32B" w14:textId="77777777" w:rsidR="00476EB7" w:rsidRDefault="00000000">
            <w:pPr>
              <w:spacing w:after="0" w:line="259" w:lineRule="auto"/>
              <w:ind w:left="0" w:right="76" w:firstLine="0"/>
              <w:jc w:val="right"/>
            </w:pPr>
            <w:r>
              <w:rPr>
                <w:sz w:val="14"/>
              </w:rPr>
              <w:t xml:space="preserve">0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</w:tr>
      <w:tr w:rsidR="00476EB7" w14:paraId="0CB1D113" w14:textId="77777777" w:rsidTr="00FA3974">
        <w:trPr>
          <w:trHeight w:val="27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27F30F8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4"/>
              </w:rPr>
              <w:t xml:space="preserve">UKUPNO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486756E" w14:textId="5BC27B7A" w:rsidR="00476EB7" w:rsidRDefault="004D0D83">
            <w:pPr>
              <w:spacing w:after="0" w:line="259" w:lineRule="auto"/>
              <w:ind w:left="0" w:right="79" w:firstLine="0"/>
              <w:jc w:val="right"/>
            </w:pPr>
            <w:r>
              <w:rPr>
                <w:b/>
                <w:sz w:val="14"/>
              </w:rPr>
              <w:t>8</w:t>
            </w:r>
            <w:r w:rsidR="00FA3974">
              <w:rPr>
                <w:b/>
                <w:sz w:val="14"/>
              </w:rPr>
              <w:t>.</w:t>
            </w:r>
            <w:r>
              <w:rPr>
                <w:b/>
                <w:sz w:val="14"/>
              </w:rPr>
              <w:t>400</w:t>
            </w:r>
            <w:r w:rsidR="00FA3974">
              <w:rPr>
                <w:b/>
                <w:sz w:val="14"/>
              </w:rPr>
              <w:t xml:space="preserve">.000,00 </w:t>
            </w:r>
            <w:r w:rsidR="00FA3974"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553E6E8" w14:textId="5F0F17F0" w:rsidR="00476EB7" w:rsidRDefault="00000000">
            <w:pPr>
              <w:spacing w:after="0" w:line="259" w:lineRule="auto"/>
              <w:ind w:left="0" w:right="81" w:firstLine="0"/>
              <w:jc w:val="right"/>
            </w:pPr>
            <w:r>
              <w:rPr>
                <w:b/>
                <w:sz w:val="14"/>
              </w:rPr>
              <w:t>+</w:t>
            </w:r>
            <w:r w:rsidR="007662BF">
              <w:rPr>
                <w:b/>
                <w:sz w:val="14"/>
              </w:rPr>
              <w:t>1</w:t>
            </w:r>
            <w:r w:rsidR="00AA3279">
              <w:rPr>
                <w:b/>
                <w:sz w:val="14"/>
              </w:rPr>
              <w:t>08</w:t>
            </w:r>
            <w:r>
              <w:rPr>
                <w:b/>
                <w:sz w:val="14"/>
              </w:rPr>
              <w:t>.</w:t>
            </w:r>
            <w:r w:rsidR="00E153C7">
              <w:rPr>
                <w:b/>
                <w:sz w:val="14"/>
              </w:rPr>
              <w:t>0</w:t>
            </w:r>
            <w:r>
              <w:rPr>
                <w:b/>
                <w:sz w:val="14"/>
              </w:rPr>
              <w:t xml:space="preserve">00,00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2ECE4C57" w14:textId="20ED039A" w:rsidR="00476EB7" w:rsidRDefault="00FA3974">
            <w:pPr>
              <w:spacing w:after="0" w:line="259" w:lineRule="auto"/>
              <w:ind w:left="0" w:right="82" w:firstLine="0"/>
              <w:jc w:val="right"/>
            </w:pPr>
            <w:r>
              <w:rPr>
                <w:b/>
                <w:sz w:val="14"/>
              </w:rPr>
              <w:t>8</w:t>
            </w:r>
            <w:r w:rsidR="00AA3279">
              <w:rPr>
                <w:b/>
                <w:sz w:val="14"/>
              </w:rPr>
              <w:t>.508</w:t>
            </w:r>
            <w:r>
              <w:rPr>
                <w:b/>
                <w:sz w:val="14"/>
              </w:rPr>
              <w:t>.</w:t>
            </w:r>
            <w:r w:rsidR="00E153C7">
              <w:rPr>
                <w:b/>
                <w:sz w:val="14"/>
              </w:rPr>
              <w:t>0</w:t>
            </w:r>
            <w:r>
              <w:rPr>
                <w:b/>
                <w:sz w:val="14"/>
              </w:rPr>
              <w:t>00,00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B537B66" w14:textId="58E6478D" w:rsidR="00476EB7" w:rsidRDefault="00000000">
            <w:pPr>
              <w:spacing w:after="0" w:line="259" w:lineRule="auto"/>
              <w:ind w:left="0" w:right="79" w:firstLine="0"/>
              <w:jc w:val="right"/>
            </w:pPr>
            <w:r>
              <w:rPr>
                <w:b/>
                <w:sz w:val="14"/>
              </w:rPr>
              <w:t>1</w:t>
            </w:r>
            <w:r w:rsidR="00E153C7">
              <w:rPr>
                <w:b/>
                <w:sz w:val="14"/>
              </w:rPr>
              <w:t>0</w:t>
            </w:r>
            <w:r w:rsidR="00AA3279">
              <w:rPr>
                <w:b/>
                <w:sz w:val="14"/>
              </w:rPr>
              <w:t>1</w:t>
            </w:r>
            <w:r>
              <w:rPr>
                <w:b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</w:tr>
    </w:tbl>
    <w:p w14:paraId="1CAE714A" w14:textId="77777777" w:rsidR="00476EB7" w:rsidRDefault="00000000">
      <w:pPr>
        <w:spacing w:after="143" w:line="259" w:lineRule="auto"/>
        <w:ind w:left="0" w:right="0" w:firstLine="0"/>
        <w:jc w:val="left"/>
      </w:pPr>
      <w:r>
        <w:rPr>
          <w:b/>
          <w:color w:val="C00000"/>
        </w:rPr>
        <w:t xml:space="preserve"> </w:t>
      </w:r>
    </w:p>
    <w:p w14:paraId="6B3CDDE0" w14:textId="77777777" w:rsidR="00476EB7" w:rsidRDefault="00000000">
      <w:pPr>
        <w:spacing w:after="0" w:line="261" w:lineRule="auto"/>
        <w:ind w:left="-5" w:right="0"/>
      </w:pPr>
      <w:r>
        <w:rPr>
          <w:b/>
        </w:rPr>
        <w:t xml:space="preserve">Grafikon 1.  </w:t>
      </w:r>
      <w:r>
        <w:rPr>
          <w:rFonts w:ascii="Calibri" w:eastAsia="Calibri" w:hAnsi="Calibri" w:cs="Calibri"/>
        </w:rPr>
        <w:t xml:space="preserve"> </w:t>
      </w:r>
    </w:p>
    <w:p w14:paraId="1918CAD8" w14:textId="38ECB3F6" w:rsidR="00476EB7" w:rsidRDefault="00885806">
      <w:pPr>
        <w:spacing w:after="207" w:line="259" w:lineRule="auto"/>
        <w:ind w:left="1734" w:right="0" w:firstLine="0"/>
        <w:jc w:val="left"/>
      </w:pPr>
      <w:r>
        <w:rPr>
          <w:noProof/>
        </w:rPr>
        <w:drawing>
          <wp:inline distT="0" distB="0" distL="0" distR="0" wp14:anchorId="6BC0AC39" wp14:editId="599BE7F6">
            <wp:extent cx="4572000" cy="2743200"/>
            <wp:effectExtent l="0" t="0" r="0" b="0"/>
            <wp:docPr id="334448643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1D334EF3-6DF8-74FD-970B-5DAC715209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72A8CAB" w14:textId="77777777" w:rsidR="00476EB7" w:rsidRDefault="00000000">
      <w:pPr>
        <w:ind w:left="5" w:right="0"/>
      </w:pPr>
      <w:r>
        <w:t xml:space="preserve">Izvor: Proračun Općine Jelenje </w:t>
      </w:r>
      <w:r>
        <w:rPr>
          <w:rFonts w:ascii="Calibri" w:eastAsia="Calibri" w:hAnsi="Calibri" w:cs="Calibri"/>
        </w:rPr>
        <w:t xml:space="preserve"> </w:t>
      </w:r>
    </w:p>
    <w:p w14:paraId="666371E8" w14:textId="77777777" w:rsidR="008D2870" w:rsidRDefault="008D2870">
      <w:pPr>
        <w:ind w:left="5" w:right="0"/>
      </w:pPr>
    </w:p>
    <w:p w14:paraId="1015BFCE" w14:textId="1A7E60FD" w:rsidR="00476EB7" w:rsidRDefault="00000000">
      <w:pPr>
        <w:ind w:left="5" w:right="0"/>
      </w:pPr>
      <w:r>
        <w:t>Prvim izmjenama i dopunama</w:t>
      </w:r>
      <w:r>
        <w:rPr>
          <w:b/>
        </w:rPr>
        <w:t xml:space="preserve"> </w:t>
      </w:r>
      <w:r>
        <w:t>Proračuna Općine Jelenje</w:t>
      </w:r>
      <w:r>
        <w:rPr>
          <w:b/>
        </w:rPr>
        <w:t xml:space="preserve"> </w:t>
      </w:r>
      <w:r>
        <w:t>povećavamo</w:t>
      </w:r>
      <w:r>
        <w:rPr>
          <w:b/>
        </w:rPr>
        <w:t xml:space="preserve"> Prihode poslovanja </w:t>
      </w:r>
      <w:r>
        <w:t>za</w:t>
      </w:r>
      <w:r w:rsidR="005A0464">
        <w:t xml:space="preserve"> 8</w:t>
      </w:r>
      <w:r w:rsidR="00633DF5">
        <w:t>,</w:t>
      </w:r>
      <w:r w:rsidR="005A0464">
        <w:t>3</w:t>
      </w:r>
      <w:r>
        <w:t xml:space="preserve">% </w:t>
      </w:r>
      <w:r w:rsidR="00633DF5">
        <w:t>dok</w:t>
      </w:r>
      <w:r>
        <w:rPr>
          <w:b/>
        </w:rPr>
        <w:t xml:space="preserve"> Prihodi od prodaje nefinancijske imovine</w:t>
      </w:r>
      <w:r w:rsidR="00633DF5">
        <w:rPr>
          <w:bCs/>
        </w:rPr>
        <w:t xml:space="preserve"> i</w:t>
      </w:r>
      <w:r w:rsidR="008D2870">
        <w:rPr>
          <w:bCs/>
        </w:rPr>
        <w:t xml:space="preserve"> </w:t>
      </w:r>
      <w:r>
        <w:rPr>
          <w:b/>
        </w:rPr>
        <w:t>Primici od financijske imovine i zaduženja</w:t>
      </w:r>
      <w:r>
        <w:t xml:space="preserve"> </w:t>
      </w:r>
      <w:r w:rsidR="00633DF5">
        <w:rPr>
          <w:bCs/>
        </w:rPr>
        <w:t xml:space="preserve">ostaju na razini izvornog plana. </w:t>
      </w:r>
      <w:r w:rsidR="001E4B72">
        <w:t xml:space="preserve"> </w:t>
      </w:r>
    </w:p>
    <w:p w14:paraId="2D6BF23E" w14:textId="77777777" w:rsidR="00476EB7" w:rsidRDefault="00000000">
      <w:pPr>
        <w:spacing w:after="197"/>
        <w:ind w:left="5" w:right="0"/>
      </w:pPr>
      <w:r>
        <w:t xml:space="preserve">Unutar skupine </w:t>
      </w:r>
      <w:r>
        <w:rPr>
          <w:b/>
        </w:rPr>
        <w:t xml:space="preserve">Prihodi poslovanja </w:t>
      </w:r>
      <w:r>
        <w:t xml:space="preserve">dolazi do povećanja: </w:t>
      </w:r>
      <w:r>
        <w:rPr>
          <w:rFonts w:ascii="Calibri" w:eastAsia="Calibri" w:hAnsi="Calibri" w:cs="Calibri"/>
        </w:rPr>
        <w:t xml:space="preserve"> </w:t>
      </w:r>
    </w:p>
    <w:p w14:paraId="30CBDF8E" w14:textId="3F068C52" w:rsidR="00D46806" w:rsidRDefault="00000000" w:rsidP="00DF4339">
      <w:pPr>
        <w:pStyle w:val="ListParagraph"/>
        <w:numPr>
          <w:ilvl w:val="0"/>
          <w:numId w:val="10"/>
        </w:numPr>
        <w:spacing w:after="194" w:line="271" w:lineRule="auto"/>
        <w:ind w:right="0"/>
      </w:pPr>
      <w:r w:rsidRPr="00DF4339">
        <w:rPr>
          <w:b/>
        </w:rPr>
        <w:t xml:space="preserve">Prihoda od poreza (61) </w:t>
      </w:r>
      <w:r>
        <w:t xml:space="preserve">za </w:t>
      </w:r>
      <w:r w:rsidR="00CE1EEB">
        <w:t>14</w:t>
      </w:r>
      <w:r w:rsidR="00D67858">
        <w:t>,</w:t>
      </w:r>
      <w:r w:rsidR="005A5BFB">
        <w:t>3</w:t>
      </w:r>
      <w:r>
        <w:t>%</w:t>
      </w:r>
      <w:r w:rsidRPr="00DF4339">
        <w:rPr>
          <w:b/>
        </w:rPr>
        <w:t xml:space="preserve"> </w:t>
      </w:r>
      <w:r w:rsidR="006B5553" w:rsidRPr="00DF4339">
        <w:rPr>
          <w:bCs/>
        </w:rPr>
        <w:t>na ime</w:t>
      </w:r>
      <w:r w:rsidR="006B5553" w:rsidRPr="00DF4339">
        <w:rPr>
          <w:b/>
        </w:rPr>
        <w:t xml:space="preserve"> </w:t>
      </w:r>
      <w:r w:rsidR="006B5553">
        <w:t xml:space="preserve">poreza na dohodak </w:t>
      </w:r>
      <w:r w:rsidR="00D46806">
        <w:t>i poreza na imovinu.</w:t>
      </w:r>
      <w:r w:rsidR="00D46806" w:rsidRPr="00D46806">
        <w:t xml:space="preserve"> </w:t>
      </w:r>
    </w:p>
    <w:p w14:paraId="7D91FB53" w14:textId="2B5BDF2E" w:rsidR="00D46806" w:rsidRDefault="00D46806" w:rsidP="00DF4339">
      <w:pPr>
        <w:spacing w:after="194" w:line="271" w:lineRule="auto"/>
        <w:ind w:left="0" w:right="0" w:firstLine="0"/>
        <w:contextualSpacing/>
      </w:pPr>
      <w:r w:rsidRPr="00D46806">
        <w:rPr>
          <w:i/>
          <w:iCs/>
        </w:rPr>
        <w:lastRenderedPageBreak/>
        <w:t>Porast poreza na dohodak</w:t>
      </w:r>
      <w:r>
        <w:t xml:space="preserve"> od nesamostalnog rada </w:t>
      </w:r>
      <w:r w:rsidR="00C33ADC">
        <w:t>od 13,</w:t>
      </w:r>
      <w:r w:rsidR="00CE1EEB">
        <w:t>3</w:t>
      </w:r>
      <w:r w:rsidR="00C33ADC">
        <w:t xml:space="preserve">% </w:t>
      </w:r>
      <w:r>
        <w:t xml:space="preserve">rezultat je kontinuiranog rasta zaposlenosti i rasta plaća uslijed inflatornih pritisaka. Prihodi od poreza na dohodak </w:t>
      </w:r>
      <w:r w:rsidR="00B52AFC">
        <w:t>od kapital</w:t>
      </w:r>
      <w:r w:rsidR="009846F6">
        <w:t xml:space="preserve">a </w:t>
      </w:r>
      <w:r>
        <w:t xml:space="preserve">također </w:t>
      </w:r>
      <w:r w:rsidR="009846F6">
        <w:t xml:space="preserve">rastu </w:t>
      </w:r>
      <w:r>
        <w:t xml:space="preserve">i više od poreza na dohodak, </w:t>
      </w:r>
      <w:r w:rsidR="009846F6">
        <w:t xml:space="preserve">te </w:t>
      </w:r>
      <w:r>
        <w:t xml:space="preserve">kod tih prihoda </w:t>
      </w:r>
      <w:r w:rsidR="00B52AFC">
        <w:t xml:space="preserve">očekujemo povećanje od </w:t>
      </w:r>
      <w:r w:rsidR="005A5BFB">
        <w:t>17,4</w:t>
      </w:r>
      <w:r w:rsidR="00B52AFC">
        <w:t xml:space="preserve">% </w:t>
      </w:r>
      <w:r w:rsidR="00E0585F">
        <w:t>pa</w:t>
      </w:r>
      <w:r w:rsidR="00B52AFC">
        <w:t xml:space="preserve"> </w:t>
      </w:r>
      <w:r>
        <w:t xml:space="preserve">se planiraju u iznosu od </w:t>
      </w:r>
      <w:r w:rsidR="009F3CD6">
        <w:t>3</w:t>
      </w:r>
      <w:r w:rsidR="005A5BFB">
        <w:t>63</w:t>
      </w:r>
      <w:r>
        <w:t>.</w:t>
      </w:r>
      <w:r w:rsidR="00B52AFC">
        <w:t>100</w:t>
      </w:r>
      <w:r>
        <w:t>,</w:t>
      </w:r>
      <w:r w:rsidR="00B52AFC">
        <w:t>00</w:t>
      </w:r>
      <w:r w:rsidR="00633DF5">
        <w:t xml:space="preserve"> </w:t>
      </w:r>
      <w:r>
        <w:t xml:space="preserve">eura što je povećanje u odnosu na </w:t>
      </w:r>
      <w:r w:rsidR="00B52AFC">
        <w:t>izvorni</w:t>
      </w:r>
      <w:r>
        <w:t xml:space="preserve"> plan za </w:t>
      </w:r>
      <w:r w:rsidR="005A5BFB">
        <w:t>53</w:t>
      </w:r>
      <w:r>
        <w:t>.</w:t>
      </w:r>
      <w:r w:rsidR="00B52AFC">
        <w:t>800</w:t>
      </w:r>
      <w:r>
        <w:t>,</w:t>
      </w:r>
      <w:r w:rsidR="009F3CD6">
        <w:t>00</w:t>
      </w:r>
      <w:r>
        <w:t xml:space="preserve"> eura. </w:t>
      </w:r>
      <w:r w:rsidR="00344135" w:rsidRPr="00344135">
        <w:t>Rast prihoda od poreza na dohodak od kapitala korelira s povećanom aktivnošću građana na tržištu kapitala i isplatama dividendi trgovačkih društava</w:t>
      </w:r>
      <w:r w:rsidR="00344135">
        <w:t xml:space="preserve">. </w:t>
      </w:r>
      <w:r w:rsidR="00CE1EEB">
        <w:t xml:space="preserve">Nadalje očekujemo prilive po osnovi izdanih rješenja po godišnjoj prijavi. </w:t>
      </w:r>
    </w:p>
    <w:p w14:paraId="71693A4D" w14:textId="0934FD01" w:rsidR="00C33ADC" w:rsidRDefault="00344135" w:rsidP="00DF4339">
      <w:pPr>
        <w:spacing w:after="194" w:line="271" w:lineRule="auto"/>
        <w:ind w:left="0" w:right="0" w:firstLine="0"/>
        <w:contextualSpacing/>
      </w:pPr>
      <w:r w:rsidRPr="00D46806">
        <w:rPr>
          <w:i/>
          <w:iCs/>
        </w:rPr>
        <w:t>Rast prihoda od poreza na imovinu</w:t>
      </w:r>
      <w:r w:rsidRPr="00344135">
        <w:t xml:space="preserve"> </w:t>
      </w:r>
      <w:r w:rsidR="00C33ADC">
        <w:t>od 13,</w:t>
      </w:r>
      <w:r w:rsidR="00CE1EEB">
        <w:t>9</w:t>
      </w:r>
      <w:r w:rsidR="00C33ADC">
        <w:t xml:space="preserve">% </w:t>
      </w:r>
      <w:r w:rsidRPr="00344135">
        <w:t>rezultat je transformacije poreznog sustava, kojom se fokus oporezivanja prebacuje s rada na imovinu</w:t>
      </w:r>
      <w:r>
        <w:t>, koja nije u funkciji stanovanja</w:t>
      </w:r>
      <w:r w:rsidR="00D46806">
        <w:t xml:space="preserve">, što ima </w:t>
      </w:r>
      <w:r w:rsidRPr="00344135">
        <w:t>za cilj pravedniju raspodjelu poreznog tereta.</w:t>
      </w:r>
      <w:r w:rsidR="00C33ADC">
        <w:t xml:space="preserve"> Kod s</w:t>
      </w:r>
      <w:r w:rsidR="00C33ADC" w:rsidRPr="00E0585F">
        <w:rPr>
          <w:rFonts w:eastAsia="Calibri"/>
        </w:rPr>
        <w:t>talni</w:t>
      </w:r>
      <w:r w:rsidR="00C33ADC">
        <w:rPr>
          <w:rFonts w:eastAsia="Calibri"/>
        </w:rPr>
        <w:t>h</w:t>
      </w:r>
      <w:r w:rsidR="00C33ADC" w:rsidRPr="00E0585F">
        <w:rPr>
          <w:rFonts w:eastAsia="Calibri"/>
        </w:rPr>
        <w:t xml:space="preserve"> porez</w:t>
      </w:r>
      <w:r w:rsidR="00C33ADC">
        <w:rPr>
          <w:rFonts w:eastAsia="Calibri"/>
        </w:rPr>
        <w:t>a</w:t>
      </w:r>
      <w:r w:rsidR="00C33ADC" w:rsidRPr="00E0585F">
        <w:rPr>
          <w:rFonts w:eastAsia="Calibri"/>
        </w:rPr>
        <w:t xml:space="preserve"> na nepokretnu imovinu (porez na nekretnine)</w:t>
      </w:r>
      <w:r w:rsidR="00C33ADC">
        <w:rPr>
          <w:rFonts w:eastAsia="Calibri"/>
        </w:rPr>
        <w:t xml:space="preserve"> očekujemo nominalni rast za 20.000,00 eura, dok neznatno rastu povremeni porezi na imovinu (porez na promet nekretnina). </w:t>
      </w:r>
      <w:r w:rsidRPr="00344135">
        <w:t>Rast prihoda od poreza na promet nekretnina i poreza na imovinu odražava trend u kojem građani svoj višak sredstava i dalje primarno investiraju u nekretnine, što uzrokuje povećanu frekvenciju transakcija i rast osnovice poreza zbog porasta tržišnih cijena.</w:t>
      </w:r>
      <w:r>
        <w:t xml:space="preserve"> </w:t>
      </w:r>
    </w:p>
    <w:p w14:paraId="19ADB34E" w14:textId="77777777" w:rsidR="00C33ADC" w:rsidRDefault="00C33ADC" w:rsidP="00C33ADC">
      <w:pPr>
        <w:spacing w:after="194" w:line="271" w:lineRule="auto"/>
        <w:ind w:left="329" w:right="0" w:firstLine="0"/>
        <w:contextualSpacing/>
        <w:rPr>
          <w:b/>
        </w:rPr>
      </w:pPr>
    </w:p>
    <w:p w14:paraId="7AA6ADD9" w14:textId="68E4F893" w:rsidR="00A753DF" w:rsidRDefault="00A753DF" w:rsidP="00DF4339">
      <w:pPr>
        <w:pStyle w:val="ListParagraph"/>
        <w:numPr>
          <w:ilvl w:val="0"/>
          <w:numId w:val="8"/>
        </w:numPr>
        <w:spacing w:after="160" w:line="271" w:lineRule="auto"/>
        <w:ind w:left="426" w:right="0"/>
      </w:pPr>
      <w:r w:rsidRPr="00DF4339">
        <w:rPr>
          <w:b/>
        </w:rPr>
        <w:t>Pomoći iz inozemstva i od subjekata unutar općeg proračuna (63)</w:t>
      </w:r>
      <w:r>
        <w:t xml:space="preserve"> za </w:t>
      </w:r>
      <w:r w:rsidR="00633DF5">
        <w:t xml:space="preserve">svega </w:t>
      </w:r>
      <w:r>
        <w:t>1</w:t>
      </w:r>
      <w:r w:rsidR="009846F6">
        <w:t>,4</w:t>
      </w:r>
      <w:r>
        <w:t xml:space="preserve">% odnosno </w:t>
      </w:r>
      <w:r w:rsidR="00633DF5">
        <w:t>39</w:t>
      </w:r>
      <w:r>
        <w:t>.</w:t>
      </w:r>
      <w:r w:rsidR="00633DF5">
        <w:t>251</w:t>
      </w:r>
      <w:r>
        <w:t>,</w:t>
      </w:r>
      <w:r w:rsidR="00633DF5">
        <w:t>82</w:t>
      </w:r>
      <w:r>
        <w:t xml:space="preserve"> eura i to: </w:t>
      </w:r>
      <w:r w:rsidRPr="00DF4339">
        <w:rPr>
          <w:rFonts w:ascii="Calibri" w:eastAsia="Calibri" w:hAnsi="Calibri" w:cs="Calibri"/>
        </w:rPr>
        <w:t xml:space="preserve"> </w:t>
      </w:r>
    </w:p>
    <w:p w14:paraId="2D3DE24D" w14:textId="77777777" w:rsidR="00743971" w:rsidRDefault="00A753DF" w:rsidP="005A5BFB">
      <w:pPr>
        <w:spacing w:after="38"/>
        <w:ind w:right="0" w:firstLine="0"/>
        <w:rPr>
          <w:bCs/>
        </w:rPr>
      </w:pPr>
      <w:r w:rsidRPr="0030372A">
        <w:rPr>
          <w:b/>
        </w:rPr>
        <w:t xml:space="preserve">Tekuće pomoći </w:t>
      </w:r>
      <w:r w:rsidRPr="0030372A">
        <w:rPr>
          <w:bCs/>
        </w:rPr>
        <w:t xml:space="preserve"> za </w:t>
      </w:r>
      <w:r w:rsidR="00260D60">
        <w:rPr>
          <w:bCs/>
        </w:rPr>
        <w:t xml:space="preserve">funkcionalno spajanje komunalnog društava (KD Autotrolej) </w:t>
      </w:r>
      <w:r w:rsidRPr="0030372A">
        <w:rPr>
          <w:bCs/>
        </w:rPr>
        <w:t xml:space="preserve">u visini od </w:t>
      </w:r>
      <w:r w:rsidR="00260D60">
        <w:rPr>
          <w:bCs/>
        </w:rPr>
        <w:t>18</w:t>
      </w:r>
      <w:r w:rsidRPr="0030372A">
        <w:rPr>
          <w:bCs/>
        </w:rPr>
        <w:t>.</w:t>
      </w:r>
      <w:r w:rsidR="00260D60">
        <w:rPr>
          <w:bCs/>
        </w:rPr>
        <w:t>757</w:t>
      </w:r>
      <w:r w:rsidRPr="0030372A">
        <w:rPr>
          <w:bCs/>
        </w:rPr>
        <w:t>,00 eura</w:t>
      </w:r>
      <w:r w:rsidR="006B76BF" w:rsidRPr="0030372A">
        <w:rPr>
          <w:bCs/>
        </w:rPr>
        <w:t xml:space="preserve"> jer očekujemo </w:t>
      </w:r>
      <w:r w:rsidR="008A13A9">
        <w:rPr>
          <w:bCs/>
        </w:rPr>
        <w:t>realizaciju na bazi prethodne godine po modelu A – Dobrovoljno fun</w:t>
      </w:r>
      <w:r w:rsidR="002E1C69">
        <w:rPr>
          <w:bCs/>
        </w:rPr>
        <w:t>k</w:t>
      </w:r>
      <w:r w:rsidR="008A13A9">
        <w:rPr>
          <w:bCs/>
        </w:rPr>
        <w:t>cionalno spajanje putem zajedničkog trgovačkog društva</w:t>
      </w:r>
      <w:r w:rsidR="002E1C69">
        <w:rPr>
          <w:bCs/>
        </w:rPr>
        <w:t xml:space="preserve">. Nadalje </w:t>
      </w:r>
      <w:r w:rsidR="00C63A4D">
        <w:rPr>
          <w:bCs/>
        </w:rPr>
        <w:t xml:space="preserve">ovim </w:t>
      </w:r>
      <w:r w:rsidR="002E1C69">
        <w:rPr>
          <w:bCs/>
        </w:rPr>
        <w:t xml:space="preserve">prvim izmjenama i dopunama neophodno je izvršiti </w:t>
      </w:r>
      <w:r w:rsidR="00743971">
        <w:rPr>
          <w:bCs/>
        </w:rPr>
        <w:t xml:space="preserve">i </w:t>
      </w:r>
      <w:r w:rsidR="002E1C69">
        <w:rPr>
          <w:bCs/>
        </w:rPr>
        <w:t xml:space="preserve">preraspodjelu po izvorima kod tekućih pomoći </w:t>
      </w:r>
      <w:r w:rsidR="008A13A9">
        <w:rPr>
          <w:bCs/>
        </w:rPr>
        <w:t xml:space="preserve">temeljem prijenosa EU sredstava </w:t>
      </w:r>
      <w:r w:rsidR="002E1C69">
        <w:rPr>
          <w:bCs/>
        </w:rPr>
        <w:t>u skladu sa dobiven</w:t>
      </w:r>
      <w:r w:rsidR="00743971">
        <w:rPr>
          <w:bCs/>
        </w:rPr>
        <w:t xml:space="preserve">oj obavijesti od strane Ministarstva financija u svezi </w:t>
      </w:r>
      <w:r w:rsidR="002E1C69">
        <w:rPr>
          <w:bCs/>
        </w:rPr>
        <w:t>doz</w:t>
      </w:r>
      <w:r w:rsidR="00743971">
        <w:rPr>
          <w:bCs/>
        </w:rPr>
        <w:t>naka</w:t>
      </w:r>
      <w:r w:rsidR="002E1C69">
        <w:rPr>
          <w:bCs/>
        </w:rPr>
        <w:t xml:space="preserve"> sredstava iz državnog proračuna iz izvora financiranja 5 Pomoći, 815 Mehanizam za oporavak i otpornost (NPOO – zajam) i 12 Sredstva učešća za pomoći, sukladno Izmjenama i dopunama Pravilnika o proračunskim klasifikacijama (Narodne novine br. 122/25). U skladu sa naprijed navedenim, formira se pozicija na kojoj je </w:t>
      </w:r>
    </w:p>
    <w:p w14:paraId="4D0634F5" w14:textId="4A6C0663" w:rsidR="009C0721" w:rsidRDefault="002E1C69" w:rsidP="005A5BFB">
      <w:pPr>
        <w:spacing w:after="38"/>
        <w:ind w:right="0" w:firstLine="0"/>
        <w:rPr>
          <w:bCs/>
        </w:rPr>
      </w:pPr>
      <w:r>
        <w:rPr>
          <w:bCs/>
        </w:rPr>
        <w:t>istaknuto nacionalno financiranje pored postojeće na koj</w:t>
      </w:r>
      <w:r w:rsidR="00C63A4D">
        <w:rPr>
          <w:bCs/>
        </w:rPr>
        <w:t>oj se evidentira priliv temeljem prijenosa EU sredstava</w:t>
      </w:r>
      <w:r w:rsidR="00E16513">
        <w:rPr>
          <w:bCs/>
        </w:rPr>
        <w:t xml:space="preserve">, </w:t>
      </w:r>
      <w:r w:rsidR="00C33ADC">
        <w:rPr>
          <w:bCs/>
        </w:rPr>
        <w:t>na ime</w:t>
      </w:r>
      <w:r w:rsidR="008A13A9">
        <w:rPr>
          <w:bCs/>
        </w:rPr>
        <w:t xml:space="preserve"> projekt</w:t>
      </w:r>
      <w:r w:rsidR="00C33ADC">
        <w:rPr>
          <w:bCs/>
        </w:rPr>
        <w:t>a</w:t>
      </w:r>
      <w:r w:rsidR="008A13A9">
        <w:rPr>
          <w:bCs/>
        </w:rPr>
        <w:t xml:space="preserve"> </w:t>
      </w:r>
      <w:r>
        <w:rPr>
          <w:bCs/>
        </w:rPr>
        <w:t>Zaželi</w:t>
      </w:r>
      <w:r w:rsidR="00C63A4D">
        <w:rPr>
          <w:bCs/>
        </w:rPr>
        <w:t xml:space="preserve">. </w:t>
      </w:r>
    </w:p>
    <w:p w14:paraId="748EB3F6" w14:textId="7A677E26" w:rsidR="009C0721" w:rsidRPr="009C0721" w:rsidRDefault="00C33ADC" w:rsidP="001F7D5F">
      <w:pPr>
        <w:spacing w:after="38"/>
        <w:ind w:right="0" w:firstLine="0"/>
      </w:pPr>
      <w:r>
        <w:rPr>
          <w:bCs/>
        </w:rPr>
        <w:t xml:space="preserve">Istodobno smanjuju se tekuće pomoći iz drugih proračuna na ime fiskalne održivosti dječjih vrtića zbog </w:t>
      </w:r>
      <w:r w:rsidR="009C0721" w:rsidRPr="009C0721">
        <w:rPr>
          <w:bCs/>
        </w:rPr>
        <w:t>izmijenjen</w:t>
      </w:r>
      <w:r w:rsidR="009C0721">
        <w:rPr>
          <w:bCs/>
        </w:rPr>
        <w:t>og</w:t>
      </w:r>
      <w:r w:rsidR="009C0721" w:rsidRPr="009C0721">
        <w:rPr>
          <w:bCs/>
        </w:rPr>
        <w:t xml:space="preserve"> člank</w:t>
      </w:r>
      <w:r w:rsidR="009C0721">
        <w:rPr>
          <w:bCs/>
        </w:rPr>
        <w:t>a</w:t>
      </w:r>
      <w:r w:rsidR="009C0721" w:rsidRPr="009C0721">
        <w:rPr>
          <w:bCs/>
        </w:rPr>
        <w:t xml:space="preserve"> 50.a stavak 2. Zakona o izmjenama i dopuni Zakona o predškolskom odgoju i obrazovanju (NN 22/2026</w:t>
      </w:r>
      <w:r w:rsidR="009C0721">
        <w:rPr>
          <w:bCs/>
        </w:rPr>
        <w:t xml:space="preserve">) kojim </w:t>
      </w:r>
      <w:r w:rsidR="005A5BFB">
        <w:rPr>
          <w:bCs/>
        </w:rPr>
        <w:t>s</w:t>
      </w:r>
      <w:r w:rsidR="009C0721">
        <w:rPr>
          <w:bCs/>
        </w:rPr>
        <w:t xml:space="preserve">e određuje </w:t>
      </w:r>
      <w:r w:rsidR="009C0721" w:rsidRPr="009C0721">
        <w:rPr>
          <w:bCs/>
        </w:rPr>
        <w:t xml:space="preserve">na </w:t>
      </w:r>
      <w:r w:rsidR="009C0721">
        <w:rPr>
          <w:bCs/>
        </w:rPr>
        <w:t xml:space="preserve">koji </w:t>
      </w:r>
      <w:r w:rsidR="009C0721" w:rsidRPr="009C0721">
        <w:rPr>
          <w:bCs/>
        </w:rPr>
        <w:t>način se sredstva za fiskalnu održivost dječjih vrtića doznačavaju jedinicama lokalne i područne (regionalne) samouprave za dječje vrtiće kojima je osnivač jedinica lokalne i područne (regionalne) samouprave, te</w:t>
      </w:r>
      <w:r w:rsidR="009C0721">
        <w:rPr>
          <w:bCs/>
        </w:rPr>
        <w:t xml:space="preserve"> </w:t>
      </w:r>
      <w:r w:rsidR="009C0721" w:rsidRPr="009C0721">
        <w:rPr>
          <w:bCs/>
        </w:rPr>
        <w:t>vrtićima kojima je osnivač vjerska zajednica ili druga fizička ili pravna osoba.</w:t>
      </w:r>
      <w:r w:rsidR="009C0721">
        <w:rPr>
          <w:bCs/>
        </w:rPr>
        <w:t xml:space="preserve"> </w:t>
      </w:r>
      <w:r w:rsidR="009C0721" w:rsidRPr="009C0721">
        <w:rPr>
          <w:bCs/>
        </w:rPr>
        <w:t>Na temelju navedenih izmjena Zakona uskla</w:t>
      </w:r>
      <w:r w:rsidR="001F7D5F">
        <w:rPr>
          <w:bCs/>
        </w:rPr>
        <w:t xml:space="preserve">đena je </w:t>
      </w:r>
      <w:r w:rsidR="009C0721" w:rsidRPr="009C0721">
        <w:rPr>
          <w:bCs/>
        </w:rPr>
        <w:t>i postojeća Uredba o kriterijima i mjerilima za utvrđivanje iznosa sredstava za fiskalnu održivost dječjih vrtića (NN 109/2023) te don</w:t>
      </w:r>
      <w:r w:rsidR="001F7D5F">
        <w:rPr>
          <w:bCs/>
        </w:rPr>
        <w:t>esena</w:t>
      </w:r>
      <w:r w:rsidR="009C0721" w:rsidRPr="009C0721">
        <w:rPr>
          <w:bCs/>
        </w:rPr>
        <w:t xml:space="preserve"> nova Odluka o dodjeli sredstava za fiskalnu održivost dječjih vrtića za pedagošku godinu 2025./2026.</w:t>
      </w:r>
      <w:r w:rsidR="009C0721">
        <w:rPr>
          <w:bCs/>
        </w:rPr>
        <w:t xml:space="preserve"> kojom će se buduća sredstva – mjesečne rate doznačavati </w:t>
      </w:r>
      <w:r w:rsidR="009C0721" w:rsidRPr="009C0721">
        <w:rPr>
          <w:bCs/>
        </w:rPr>
        <w:t>na žiro</w:t>
      </w:r>
      <w:r w:rsidR="005A5BFB">
        <w:rPr>
          <w:bCs/>
        </w:rPr>
        <w:t>-</w:t>
      </w:r>
      <w:r w:rsidR="009C0721" w:rsidRPr="009C0721">
        <w:rPr>
          <w:bCs/>
        </w:rPr>
        <w:t xml:space="preserve">račun privatnog vrtića. </w:t>
      </w:r>
    </w:p>
    <w:p w14:paraId="17A3E21C" w14:textId="43A3EE1A" w:rsidR="00996266" w:rsidRDefault="00A753DF" w:rsidP="0048168B">
      <w:pPr>
        <w:spacing w:after="38"/>
        <w:ind w:left="0" w:right="0" w:firstLine="0"/>
      </w:pPr>
      <w:r w:rsidRPr="00985E7B">
        <w:rPr>
          <w:b/>
          <w:bCs/>
        </w:rPr>
        <w:t>Kapitalne pomoći</w:t>
      </w:r>
      <w:r w:rsidRPr="00985E7B">
        <w:t xml:space="preserve"> iz drugih</w:t>
      </w:r>
      <w:r>
        <w:t xml:space="preserve"> proračuna </w:t>
      </w:r>
      <w:r w:rsidR="00EC70BC">
        <w:t xml:space="preserve">(državni i županijski) </w:t>
      </w:r>
      <w:r w:rsidR="003B36C3">
        <w:t xml:space="preserve">povećavaju se 7,5% </w:t>
      </w:r>
      <w:r w:rsidR="00BF44F3">
        <w:t>odnosno</w:t>
      </w:r>
      <w:r w:rsidR="003B36C3">
        <w:t xml:space="preserve"> za 80</w:t>
      </w:r>
      <w:r>
        <w:t>.</w:t>
      </w:r>
      <w:r w:rsidR="003B36C3">
        <w:t>000</w:t>
      </w:r>
      <w:r>
        <w:t>,00 eura</w:t>
      </w:r>
      <w:r w:rsidR="00EC70BC">
        <w:t xml:space="preserve"> </w:t>
      </w:r>
      <w:r w:rsidR="0048168B">
        <w:t xml:space="preserve">kojim će se </w:t>
      </w:r>
      <w:r w:rsidR="00EC70BC">
        <w:t xml:space="preserve">financirati projekt </w:t>
      </w:r>
      <w:r w:rsidR="005A5BFB">
        <w:t xml:space="preserve">„Uređenje </w:t>
      </w:r>
      <w:proofErr w:type="spellStart"/>
      <w:r w:rsidR="005A5BFB">
        <w:t>Kalića</w:t>
      </w:r>
      <w:proofErr w:type="spellEnd"/>
      <w:r w:rsidR="005A5BFB">
        <w:t xml:space="preserve"> i opremanje planinarsko turističkih staza“ </w:t>
      </w:r>
      <w:r w:rsidR="00EC70BC">
        <w:t>i p</w:t>
      </w:r>
      <w:r w:rsidR="005A5BFB">
        <w:t>rojekt „Izgradnja dječjeg igrališta – Dubina“</w:t>
      </w:r>
      <w:r w:rsidR="00EC70BC">
        <w:t xml:space="preserve">. </w:t>
      </w:r>
      <w:r w:rsidR="00985E7B">
        <w:t xml:space="preserve">Kapitalne pomoći od izvanproračunskih korisnika se </w:t>
      </w:r>
      <w:r w:rsidR="00A52FC1">
        <w:t>povećava</w:t>
      </w:r>
      <w:r w:rsidR="00985E7B">
        <w:t xml:space="preserve">ju za </w:t>
      </w:r>
      <w:r w:rsidR="00E43BFF">
        <w:t xml:space="preserve">dodatnih </w:t>
      </w:r>
      <w:r w:rsidR="00A52FC1">
        <w:t>41</w:t>
      </w:r>
      <w:r w:rsidR="00985E7B">
        <w:t>.</w:t>
      </w:r>
      <w:r w:rsidR="00A52FC1">
        <w:t>577</w:t>
      </w:r>
      <w:r w:rsidR="00985E7B">
        <w:t>,</w:t>
      </w:r>
      <w:r w:rsidR="00A52FC1">
        <w:t>50</w:t>
      </w:r>
      <w:r w:rsidR="00985E7B">
        <w:t xml:space="preserve"> eura </w:t>
      </w:r>
      <w:r w:rsidR="0048168B">
        <w:t>kojim će se financirati p</w:t>
      </w:r>
      <w:r w:rsidR="00985E7B">
        <w:t xml:space="preserve">rojekt </w:t>
      </w:r>
      <w:r w:rsidR="00E43BFF">
        <w:t>Nabava pokretne dugotrajne imovine (ulaganje u računalne programe)</w:t>
      </w:r>
      <w:r w:rsidR="0048168B">
        <w:t xml:space="preserve"> i projekt </w:t>
      </w:r>
      <w:r w:rsidR="0048168B" w:rsidRPr="0048168B">
        <w:t>Implementacija sustava nadzora zaustavljanja i</w:t>
      </w:r>
      <w:r w:rsidR="0048168B">
        <w:t xml:space="preserve"> </w:t>
      </w:r>
      <w:r w:rsidR="0048168B" w:rsidRPr="0048168B">
        <w:t>parkiranja vozila na autobusnim stanicama</w:t>
      </w:r>
      <w:r w:rsidR="0048168B">
        <w:t>,</w:t>
      </w:r>
      <w:r w:rsidR="00E43BFF">
        <w:t xml:space="preserve"> temeljem sklopljenog ugovora </w:t>
      </w:r>
      <w:r w:rsidR="0048168B">
        <w:t xml:space="preserve">sa Fondom za zaštitu okoliša i energetsku učinkovitost </w:t>
      </w:r>
      <w:r w:rsidR="00E43BFF">
        <w:t>za sufinanciranje razvoja pametnih i održivih rješenja i usluga</w:t>
      </w:r>
      <w:r w:rsidR="0048168B">
        <w:t>. Do konca go</w:t>
      </w:r>
      <w:r w:rsidR="00E43BFF">
        <w:t xml:space="preserve">dine </w:t>
      </w:r>
      <w:r w:rsidR="0048168B">
        <w:t xml:space="preserve">Općina planira </w:t>
      </w:r>
      <w:r w:rsidR="00E43BFF">
        <w:t>sveukupno povući maksimalno dozvoljeni iznos financiranja od 80.000,00 eura (učešće fonda 60% iznosa opravdanih troškova) po ukupno realiziran</w:t>
      </w:r>
      <w:r w:rsidR="0048168B">
        <w:t>a</w:t>
      </w:r>
      <w:r w:rsidR="00E43BFF">
        <w:t xml:space="preserve"> tri </w:t>
      </w:r>
      <w:r w:rsidR="00E43BFF">
        <w:lastRenderedPageBreak/>
        <w:t>područj</w:t>
      </w:r>
      <w:r w:rsidR="0048168B">
        <w:t>a,</w:t>
      </w:r>
      <w:r w:rsidR="00E43BFF">
        <w:t xml:space="preserve"> a to su Nabava opreme i usluge instalacije sustava video nadzora za kontrolu prometa i raskrižja – 3 video kamere, Nabava usluge razvoja i implementacije </w:t>
      </w:r>
      <w:proofErr w:type="spellStart"/>
      <w:r w:rsidR="00E43BFF">
        <w:t>webGIS</w:t>
      </w:r>
      <w:proofErr w:type="spellEnd"/>
      <w:r w:rsidR="00E43BFF">
        <w:t xml:space="preserve"> sustava i e-sustava poslovnih informacija te Nabava opreme i instalacije sustava za praćenje kvalitete zraka.  </w:t>
      </w:r>
    </w:p>
    <w:p w14:paraId="37848C86" w14:textId="70480500" w:rsidR="006C5543" w:rsidRDefault="00A753DF" w:rsidP="006C5543">
      <w:pPr>
        <w:ind w:right="0" w:firstLine="0"/>
      </w:pPr>
      <w:r>
        <w:rPr>
          <w:b/>
        </w:rPr>
        <w:t>Kapitalne pomoći temeljem prijenosa EU sredstava</w:t>
      </w:r>
      <w:r>
        <w:t xml:space="preserve"> se </w:t>
      </w:r>
      <w:r w:rsidR="00FC7CBE">
        <w:t>povećavaju</w:t>
      </w:r>
      <w:r>
        <w:t xml:space="preserve"> za </w:t>
      </w:r>
      <w:r w:rsidR="00AB0D7E">
        <w:t>36</w:t>
      </w:r>
      <w:r>
        <w:t>.</w:t>
      </w:r>
      <w:r w:rsidR="00AB0D7E">
        <w:t>000</w:t>
      </w:r>
      <w:r>
        <w:t>,</w:t>
      </w:r>
      <w:r w:rsidR="00FC7CBE">
        <w:t>0</w:t>
      </w:r>
      <w:r w:rsidR="00AB0D7E">
        <w:t>0 eura</w:t>
      </w:r>
      <w:r>
        <w:t xml:space="preserve"> </w:t>
      </w:r>
      <w:r w:rsidR="00FF6D5C">
        <w:t xml:space="preserve">jer se očekuje naplata posljednjeg podnesenog zahtjeva za nadoknadom sredstava za projekt Proširenje zgrade dječjeg vrtića kao </w:t>
      </w:r>
      <w:r w:rsidR="002C567D">
        <w:t>i preslagivanj</w:t>
      </w:r>
      <w:r w:rsidR="00FF6D5C">
        <w:t>a</w:t>
      </w:r>
      <w:r w:rsidR="002C567D">
        <w:t xml:space="preserve"> </w:t>
      </w:r>
      <w:r w:rsidR="00FF6D5C">
        <w:t xml:space="preserve">izvora financiranja sukladno mogućim potencijalno </w:t>
      </w:r>
      <w:r w:rsidR="002C567D">
        <w:t>dodijeljen</w:t>
      </w:r>
      <w:r w:rsidR="00FF6D5C">
        <w:t>im</w:t>
      </w:r>
      <w:r w:rsidR="002C567D">
        <w:t xml:space="preserve"> sredstv</w:t>
      </w:r>
      <w:r w:rsidR="00FF6D5C">
        <w:t>im</w:t>
      </w:r>
      <w:r w:rsidR="002C567D">
        <w:t>a za projekt „</w:t>
      </w:r>
      <w:r w:rsidR="00FF6D5C">
        <w:t xml:space="preserve">Pametna rješenja“ i projekt „Uređenje </w:t>
      </w:r>
      <w:proofErr w:type="spellStart"/>
      <w:r w:rsidR="00FF6D5C">
        <w:t>Kalića</w:t>
      </w:r>
      <w:proofErr w:type="spellEnd"/>
      <w:r w:rsidR="00FF6D5C">
        <w:t xml:space="preserve"> i opremanje planinarsko turističkih staza“. </w:t>
      </w:r>
    </w:p>
    <w:p w14:paraId="4EF1F677" w14:textId="274A7029" w:rsidR="001570AF" w:rsidRDefault="00000000">
      <w:pPr>
        <w:numPr>
          <w:ilvl w:val="0"/>
          <w:numId w:val="3"/>
        </w:numPr>
        <w:ind w:right="0" w:hanging="329"/>
      </w:pPr>
      <w:r>
        <w:rPr>
          <w:b/>
        </w:rPr>
        <w:t xml:space="preserve">Prihodi od </w:t>
      </w:r>
      <w:r w:rsidR="006C5543">
        <w:rPr>
          <w:b/>
        </w:rPr>
        <w:t>imovine</w:t>
      </w:r>
      <w:r>
        <w:t xml:space="preserve"> </w:t>
      </w:r>
      <w:r>
        <w:rPr>
          <w:b/>
        </w:rPr>
        <w:t>(6</w:t>
      </w:r>
      <w:r w:rsidR="006C5543">
        <w:rPr>
          <w:b/>
        </w:rPr>
        <w:t>4</w:t>
      </w:r>
      <w:r>
        <w:rPr>
          <w:b/>
        </w:rPr>
        <w:t>)</w:t>
      </w:r>
      <w:r>
        <w:t xml:space="preserve"> </w:t>
      </w:r>
      <w:r w:rsidR="00FF6D5C">
        <w:t>se povećava</w:t>
      </w:r>
      <w:r w:rsidR="00CF2B65">
        <w:t>ju</w:t>
      </w:r>
      <w:r w:rsidR="00FF6D5C">
        <w:t xml:space="preserve"> za 32.000,00 eura a odnose se na povećanje prihoda od financijske imovine </w:t>
      </w:r>
      <w:r w:rsidR="004B72D7">
        <w:t xml:space="preserve">po osnovi naplate putem ovrha </w:t>
      </w:r>
      <w:r w:rsidR="00CF2B65">
        <w:t xml:space="preserve">te </w:t>
      </w:r>
      <w:r w:rsidR="004B72D7">
        <w:t xml:space="preserve">očekivanog povećanja prihoda od zakupa i iznajmljivanja imovine na ime svih poslovnih prostora </w:t>
      </w:r>
      <w:r w:rsidR="00CF2B65">
        <w:t xml:space="preserve">datih u najam </w:t>
      </w:r>
      <w:r w:rsidR="004B72D7">
        <w:t>koji su u vlasništvu općine</w:t>
      </w:r>
      <w:r w:rsidR="00CF2B65">
        <w:t xml:space="preserve">. </w:t>
      </w:r>
      <w:r w:rsidR="004B72D7">
        <w:t xml:space="preserve"> </w:t>
      </w:r>
    </w:p>
    <w:p w14:paraId="7B1FA983" w14:textId="0E5C7E03" w:rsidR="006C5543" w:rsidRDefault="006C5543" w:rsidP="006C5543">
      <w:pPr>
        <w:numPr>
          <w:ilvl w:val="0"/>
          <w:numId w:val="3"/>
        </w:numPr>
        <w:ind w:right="0" w:hanging="329"/>
      </w:pPr>
      <w:r>
        <w:rPr>
          <w:b/>
        </w:rPr>
        <w:t>Prihodi od upravnih i administrativnih pristojbi</w:t>
      </w:r>
      <w:r>
        <w:t xml:space="preserve"> </w:t>
      </w:r>
      <w:r>
        <w:rPr>
          <w:b/>
        </w:rPr>
        <w:t>(65)</w:t>
      </w:r>
      <w:r>
        <w:t xml:space="preserve"> se </w:t>
      </w:r>
      <w:r w:rsidR="00CF2B65">
        <w:t>smanjuju</w:t>
      </w:r>
      <w:r>
        <w:t xml:space="preserve"> za </w:t>
      </w:r>
      <w:r w:rsidR="00CF2B65">
        <w:t>4</w:t>
      </w:r>
      <w:r>
        <w:t>,</w:t>
      </w:r>
      <w:r w:rsidR="00CF2B65">
        <w:t>8</w:t>
      </w:r>
      <w:r>
        <w:t xml:space="preserve">% </w:t>
      </w:r>
      <w:r w:rsidR="00195709">
        <w:t>ponajviše zbog smanjenih</w:t>
      </w:r>
      <w:r>
        <w:t xml:space="preserve"> </w:t>
      </w:r>
      <w:r w:rsidR="00CF2B65">
        <w:t xml:space="preserve">komunalnih doprinosa </w:t>
      </w:r>
      <w:r w:rsidR="00246279">
        <w:t>u iznosu od 30.000,00 eura (</w:t>
      </w:r>
      <w:r w:rsidR="00CF2B65">
        <w:t>koj</w:t>
      </w:r>
      <w:r w:rsidR="00195709">
        <w:t xml:space="preserve">e je vrlo teško procijeniti jer </w:t>
      </w:r>
      <w:r w:rsidR="00CF2B65">
        <w:t>jako osciliraju</w:t>
      </w:r>
      <w:r w:rsidR="00246279">
        <w:t>) i ostalih nespomenutih prihoda u iznosu od 2.192,13 eura</w:t>
      </w:r>
      <w:r w:rsidR="00CF2B65">
        <w:t xml:space="preserve">. Trenutni pad </w:t>
      </w:r>
      <w:r w:rsidR="00246279">
        <w:t xml:space="preserve">komunalnih doprinosa </w:t>
      </w:r>
      <w:r w:rsidR="00CF2B65">
        <w:t xml:space="preserve">ne bi trebao bitno narušiti budući razvoj i investicije općine </w:t>
      </w:r>
      <w:r w:rsidR="00195709">
        <w:t xml:space="preserve">kao što </w:t>
      </w:r>
      <w:r w:rsidR="00CF2B65">
        <w:t xml:space="preserve">dugoročno neće utjecati </w:t>
      </w:r>
      <w:r w:rsidR="00EC70BC">
        <w:t xml:space="preserve">i </w:t>
      </w:r>
      <w:r w:rsidR="00CF2B65">
        <w:t xml:space="preserve">na </w:t>
      </w:r>
      <w:r w:rsidR="00195709">
        <w:t xml:space="preserve">smanjenje </w:t>
      </w:r>
      <w:r w:rsidR="00CF2B65">
        <w:t xml:space="preserve">komunalne naknade. </w:t>
      </w:r>
      <w:r w:rsidR="00246279">
        <w:t xml:space="preserve">Smanjenje ostalih </w:t>
      </w:r>
      <w:r w:rsidR="00CF2B65">
        <w:t>nespomenuti</w:t>
      </w:r>
      <w:r w:rsidR="00246279">
        <w:t>h</w:t>
      </w:r>
      <w:r w:rsidR="00CF2B65">
        <w:t xml:space="preserve"> prihod</w:t>
      </w:r>
      <w:r w:rsidR="00246279">
        <w:t>a</w:t>
      </w:r>
      <w:r w:rsidR="00CF2B65">
        <w:t xml:space="preserve"> </w:t>
      </w:r>
      <w:r w:rsidR="00195709">
        <w:t>odnose na namjenska razvojna sredstva koja se troše putem kompenzacije za točno određeni rashod</w:t>
      </w:r>
      <w:r w:rsidR="00CF2B65">
        <w:t xml:space="preserve"> </w:t>
      </w:r>
      <w:r w:rsidR="00195709">
        <w:t xml:space="preserve">bitno ne utječu na smanjenje proračuna. </w:t>
      </w:r>
      <w:r w:rsidR="00D43FB7">
        <w:t xml:space="preserve">Kod ostalih pristojbi i naknada smanjuje se planirani iznos za turističke pristojbe </w:t>
      </w:r>
      <w:r w:rsidR="0041490E">
        <w:t xml:space="preserve">za 66,7% nominalno 2.000,00 eura jer planiramo da se konca godine ne može ostvariti planirani iznos od 3.000,00 eura. </w:t>
      </w:r>
      <w:r w:rsidR="00195709">
        <w:t xml:space="preserve">Do konca godine očekujemo </w:t>
      </w:r>
      <w:r w:rsidR="007F7592">
        <w:t xml:space="preserve">veću </w:t>
      </w:r>
      <w:r w:rsidR="00195709">
        <w:t xml:space="preserve">naplatu grobne naknade </w:t>
      </w:r>
      <w:r w:rsidR="00246279">
        <w:t xml:space="preserve">u nominalno za 6.000,00 eura zbog </w:t>
      </w:r>
      <w:r w:rsidR="007F7592">
        <w:t>prodanih novih grobnih mjesta.</w:t>
      </w:r>
    </w:p>
    <w:p w14:paraId="725163D8" w14:textId="77777777" w:rsidR="00246279" w:rsidRDefault="00246279">
      <w:pPr>
        <w:spacing w:after="133" w:line="261" w:lineRule="auto"/>
        <w:ind w:left="-5" w:right="0"/>
        <w:rPr>
          <w:b/>
        </w:rPr>
      </w:pPr>
    </w:p>
    <w:p w14:paraId="2E735E6F" w14:textId="4A2B1855" w:rsidR="001570AF" w:rsidRDefault="00000000">
      <w:pPr>
        <w:spacing w:after="133" w:line="261" w:lineRule="auto"/>
        <w:ind w:left="-5" w:right="0"/>
        <w:rPr>
          <w:bCs/>
        </w:rPr>
      </w:pPr>
      <w:r>
        <w:rPr>
          <w:b/>
        </w:rPr>
        <w:t xml:space="preserve">Prihodi od prodaje nefinancijske imovine (7) </w:t>
      </w:r>
      <w:r w:rsidR="001570AF">
        <w:rPr>
          <w:bCs/>
        </w:rPr>
        <w:t xml:space="preserve">se </w:t>
      </w:r>
      <w:r w:rsidR="006C5543">
        <w:rPr>
          <w:bCs/>
        </w:rPr>
        <w:t>ne mijenjaju, ostaju na razini izvornog plana.</w:t>
      </w:r>
    </w:p>
    <w:p w14:paraId="5C427236" w14:textId="664EF713" w:rsidR="00476EB7" w:rsidRDefault="00000000" w:rsidP="00371E5F">
      <w:pPr>
        <w:ind w:left="5" w:right="0"/>
      </w:pPr>
      <w:r>
        <w:t>Odredbom članka 2</w:t>
      </w:r>
      <w:r w:rsidR="00100DCD">
        <w:t>15</w:t>
      </w:r>
      <w:r>
        <w:t xml:space="preserve">. stavka </w:t>
      </w:r>
      <w:r w:rsidR="00100DCD">
        <w:t>6</w:t>
      </w:r>
      <w:r>
        <w:t>. Pravilnika o proračunskom računovodstvu i računskom planu propisano je da se stanja utvrđena na osnovnim računima podskupine 922–Višak/manjak prihoda i iskazana u financijskim izvještajima za proračunsku godinu, raspodjeljuju u sljedećoj proračunskoj godini u skladu s odlukom o raspodjeli rezultata i uz pridržavanje ograničenja u skladu s propisima iz područja proračuna. Članak 53. Zakona o proračunu koji propisuje da se namjenski prihodi i primici koji nisu bili iskorišteni u prethodnoj godini prenose u proračun za tekuću proračunsku godinu. Ovim Izmjenama i dopunama Proračuna za 202</w:t>
      </w:r>
      <w:r w:rsidR="006C5543">
        <w:t>6</w:t>
      </w:r>
      <w:r>
        <w:t>. godinu, vrši se  raspodjela ostvarenog viška prihoda iz prethodnog razdoblja, sukladno članku 3. Odluke o raspodjeli rezultata poslovanja Općine Jelenje za 202</w:t>
      </w:r>
      <w:r w:rsidR="006C5543">
        <w:t>5</w:t>
      </w:r>
      <w:r>
        <w:t xml:space="preserve">. godinu, koji iznosi </w:t>
      </w:r>
      <w:r w:rsidR="006C5543">
        <w:t>407.317,76</w:t>
      </w:r>
      <w:r>
        <w:t xml:space="preserve"> eura.  </w:t>
      </w:r>
    </w:p>
    <w:p w14:paraId="7C247A66" w14:textId="77777777" w:rsidR="00476EB7" w:rsidRDefault="00000000">
      <w:pPr>
        <w:spacing w:after="141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76C1AADC" w14:textId="77777777" w:rsidR="0041490E" w:rsidRDefault="0041490E">
      <w:pPr>
        <w:spacing w:after="141" w:line="259" w:lineRule="auto"/>
        <w:ind w:left="0" w:right="0" w:firstLine="0"/>
        <w:jc w:val="left"/>
        <w:rPr>
          <w:b/>
        </w:rPr>
      </w:pPr>
    </w:p>
    <w:p w14:paraId="593F90BD" w14:textId="77777777" w:rsidR="0041490E" w:rsidRDefault="0041490E">
      <w:pPr>
        <w:spacing w:after="141" w:line="259" w:lineRule="auto"/>
        <w:ind w:left="0" w:right="0" w:firstLine="0"/>
        <w:jc w:val="left"/>
        <w:rPr>
          <w:b/>
        </w:rPr>
      </w:pPr>
    </w:p>
    <w:p w14:paraId="052E53AD" w14:textId="77777777" w:rsidR="0041490E" w:rsidRDefault="0041490E">
      <w:pPr>
        <w:spacing w:after="141" w:line="259" w:lineRule="auto"/>
        <w:ind w:left="0" w:right="0" w:firstLine="0"/>
        <w:jc w:val="left"/>
        <w:rPr>
          <w:b/>
        </w:rPr>
      </w:pPr>
    </w:p>
    <w:p w14:paraId="66C97E56" w14:textId="77777777" w:rsidR="0041490E" w:rsidRDefault="0041490E">
      <w:pPr>
        <w:spacing w:after="141" w:line="259" w:lineRule="auto"/>
        <w:ind w:left="0" w:right="0" w:firstLine="0"/>
        <w:jc w:val="left"/>
        <w:rPr>
          <w:b/>
        </w:rPr>
      </w:pPr>
    </w:p>
    <w:p w14:paraId="43320EEE" w14:textId="77777777" w:rsidR="0041490E" w:rsidRDefault="0041490E">
      <w:pPr>
        <w:spacing w:after="141" w:line="259" w:lineRule="auto"/>
        <w:ind w:left="0" w:right="0" w:firstLine="0"/>
        <w:jc w:val="left"/>
        <w:rPr>
          <w:b/>
        </w:rPr>
      </w:pPr>
    </w:p>
    <w:p w14:paraId="59F8B65D" w14:textId="77777777" w:rsidR="0041490E" w:rsidRDefault="0041490E">
      <w:pPr>
        <w:spacing w:after="141" w:line="259" w:lineRule="auto"/>
        <w:ind w:left="0" w:right="0" w:firstLine="0"/>
        <w:jc w:val="left"/>
        <w:rPr>
          <w:b/>
        </w:rPr>
      </w:pPr>
    </w:p>
    <w:p w14:paraId="7E208B57" w14:textId="77777777" w:rsidR="0041490E" w:rsidRDefault="0041490E">
      <w:pPr>
        <w:spacing w:after="141" w:line="259" w:lineRule="auto"/>
        <w:ind w:left="0" w:right="0" w:firstLine="0"/>
        <w:jc w:val="left"/>
        <w:rPr>
          <w:b/>
        </w:rPr>
      </w:pPr>
    </w:p>
    <w:p w14:paraId="138805EF" w14:textId="77777777" w:rsidR="0041490E" w:rsidRDefault="0041490E">
      <w:pPr>
        <w:spacing w:after="141" w:line="259" w:lineRule="auto"/>
        <w:ind w:left="0" w:right="0" w:firstLine="0"/>
        <w:jc w:val="left"/>
        <w:rPr>
          <w:b/>
        </w:rPr>
      </w:pPr>
    </w:p>
    <w:p w14:paraId="2BA21E96" w14:textId="77777777" w:rsidR="0041490E" w:rsidRDefault="0041490E">
      <w:pPr>
        <w:spacing w:after="141" w:line="259" w:lineRule="auto"/>
        <w:ind w:left="0" w:right="0" w:firstLine="0"/>
        <w:jc w:val="left"/>
      </w:pPr>
    </w:p>
    <w:p w14:paraId="1E7893C4" w14:textId="77777777" w:rsidR="00476EB7" w:rsidRDefault="00000000">
      <w:pPr>
        <w:spacing w:after="169" w:line="261" w:lineRule="auto"/>
        <w:ind w:left="-5" w:right="0"/>
      </w:pPr>
      <w:r>
        <w:rPr>
          <w:b/>
        </w:rPr>
        <w:lastRenderedPageBreak/>
        <w:t xml:space="preserve">RASHODI I IZDACI – OPĆI DIO </w:t>
      </w:r>
      <w:r>
        <w:rPr>
          <w:rFonts w:ascii="Calibri" w:eastAsia="Calibri" w:hAnsi="Calibri" w:cs="Calibri"/>
        </w:rPr>
        <w:t xml:space="preserve"> </w:t>
      </w:r>
    </w:p>
    <w:p w14:paraId="12C991A9" w14:textId="77777777" w:rsidR="00476EB7" w:rsidRDefault="00000000">
      <w:pPr>
        <w:spacing w:after="0" w:line="261" w:lineRule="auto"/>
        <w:ind w:left="-5" w:right="0"/>
      </w:pPr>
      <w:r>
        <w:rPr>
          <w:b/>
        </w:rPr>
        <w:t xml:space="preserve">Tablica 2. Usporedba rashoda Proračuna Općine Jelenje prema vrsti rashoda  </w:t>
      </w:r>
    </w:p>
    <w:tbl>
      <w:tblPr>
        <w:tblStyle w:val="TableGrid"/>
        <w:tblW w:w="8560" w:type="dxa"/>
        <w:tblInd w:w="362" w:type="dxa"/>
        <w:tblCellMar>
          <w:top w:w="64" w:type="dxa"/>
          <w:left w:w="493" w:type="dxa"/>
          <w:right w:w="35" w:type="dxa"/>
        </w:tblCellMar>
        <w:tblLook w:val="04A0" w:firstRow="1" w:lastRow="0" w:firstColumn="1" w:lastColumn="0" w:noHBand="0" w:noVBand="1"/>
      </w:tblPr>
      <w:tblGrid>
        <w:gridCol w:w="2908"/>
        <w:gridCol w:w="1430"/>
        <w:gridCol w:w="1504"/>
        <w:gridCol w:w="1682"/>
        <w:gridCol w:w="1036"/>
      </w:tblGrid>
      <w:tr w:rsidR="00476EB7" w14:paraId="46E4E44E" w14:textId="77777777">
        <w:trPr>
          <w:trHeight w:val="521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9E5B07F" w14:textId="77777777" w:rsidR="00476EB7" w:rsidRDefault="00000000">
            <w:pPr>
              <w:spacing w:after="0" w:line="259" w:lineRule="auto"/>
              <w:ind w:left="535" w:right="0" w:firstLine="0"/>
              <w:jc w:val="left"/>
            </w:pPr>
            <w:r>
              <w:rPr>
                <w:b/>
                <w:sz w:val="14"/>
              </w:rPr>
              <w:t xml:space="preserve">RASHODI I IZDACI 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BB0E980" w14:textId="75E09704" w:rsidR="00476EB7" w:rsidRDefault="00000000">
            <w:pPr>
              <w:spacing w:after="10" w:line="259" w:lineRule="auto"/>
              <w:ind w:left="47" w:right="0" w:firstLine="0"/>
              <w:jc w:val="left"/>
            </w:pPr>
            <w:r>
              <w:rPr>
                <w:b/>
                <w:sz w:val="14"/>
              </w:rPr>
              <w:t>PLAN 202</w:t>
            </w:r>
            <w:r w:rsidR="00E76997">
              <w:rPr>
                <w:b/>
                <w:sz w:val="14"/>
              </w:rPr>
              <w:t>6</w:t>
            </w:r>
            <w:r>
              <w:rPr>
                <w:b/>
                <w:sz w:val="14"/>
              </w:rPr>
              <w:t xml:space="preserve"> </w:t>
            </w:r>
          </w:p>
          <w:p w14:paraId="2CFACCE3" w14:textId="77777777" w:rsidR="00476EB7" w:rsidRDefault="00000000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eur</w:t>
            </w:r>
            <w:proofErr w:type="spellEnd"/>
            <w:r>
              <w:rPr>
                <w:b/>
                <w:sz w:val="14"/>
              </w:rPr>
              <w:t xml:space="preserve">) 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C92DDD5" w14:textId="77777777" w:rsidR="00476EB7" w:rsidRDefault="00000000">
            <w:pPr>
              <w:spacing w:after="0" w:line="259" w:lineRule="auto"/>
              <w:ind w:left="0" w:right="43" w:firstLine="0"/>
              <w:jc w:val="right"/>
            </w:pPr>
            <w:r>
              <w:rPr>
                <w:b/>
                <w:sz w:val="14"/>
              </w:rPr>
              <w:t xml:space="preserve">SMANJENJE/ </w:t>
            </w:r>
          </w:p>
          <w:p w14:paraId="19550527" w14:textId="77777777" w:rsidR="00476EB7" w:rsidRDefault="00000000">
            <w:pPr>
              <w:spacing w:after="10" w:line="259" w:lineRule="auto"/>
              <w:ind w:left="0" w:right="53" w:firstLine="0"/>
              <w:jc w:val="right"/>
            </w:pPr>
            <w:r>
              <w:rPr>
                <w:b/>
                <w:sz w:val="14"/>
              </w:rPr>
              <w:t xml:space="preserve">POVEĆANJE </w:t>
            </w:r>
          </w:p>
          <w:p w14:paraId="6DB37BA9" w14:textId="77777777" w:rsidR="00476EB7" w:rsidRDefault="00000000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eur</w:t>
            </w:r>
            <w:proofErr w:type="spellEnd"/>
            <w:r>
              <w:rPr>
                <w:b/>
                <w:sz w:val="14"/>
              </w:rPr>
              <w:t xml:space="preserve">) 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99C0213" w14:textId="77777777" w:rsidR="00476EB7" w:rsidRDefault="00000000">
            <w:pPr>
              <w:spacing w:after="10" w:line="259" w:lineRule="auto"/>
              <w:ind w:left="157" w:right="0" w:firstLine="0"/>
              <w:jc w:val="left"/>
            </w:pPr>
            <w:r>
              <w:rPr>
                <w:b/>
                <w:sz w:val="14"/>
              </w:rPr>
              <w:t xml:space="preserve">NOVI PLAN </w:t>
            </w:r>
          </w:p>
          <w:p w14:paraId="11085A2A" w14:textId="75A77081" w:rsidR="00476EB7" w:rsidRDefault="00000000">
            <w:pPr>
              <w:spacing w:after="10" w:line="259" w:lineRule="auto"/>
              <w:ind w:left="0" w:right="28" w:firstLine="0"/>
              <w:jc w:val="center"/>
            </w:pPr>
            <w:r>
              <w:rPr>
                <w:b/>
                <w:sz w:val="14"/>
              </w:rPr>
              <w:t>202</w:t>
            </w:r>
            <w:r w:rsidR="00E76997">
              <w:rPr>
                <w:b/>
                <w:sz w:val="14"/>
              </w:rPr>
              <w:t>6</w:t>
            </w:r>
            <w:r>
              <w:rPr>
                <w:b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</w:p>
          <w:p w14:paraId="0877A6C6" w14:textId="77777777" w:rsidR="00476EB7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eur</w:t>
            </w:r>
            <w:proofErr w:type="spellEnd"/>
            <w:r>
              <w:rPr>
                <w:b/>
                <w:sz w:val="14"/>
              </w:rPr>
              <w:t xml:space="preserve">) 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1459F2B" w14:textId="77777777" w:rsidR="00476EB7" w:rsidRDefault="00000000">
            <w:pPr>
              <w:spacing w:after="10" w:line="259" w:lineRule="auto"/>
              <w:ind w:left="0" w:right="39" w:firstLine="0"/>
              <w:jc w:val="right"/>
            </w:pPr>
            <w:r>
              <w:rPr>
                <w:b/>
                <w:sz w:val="14"/>
              </w:rPr>
              <w:t xml:space="preserve">INDEX </w:t>
            </w:r>
          </w:p>
          <w:p w14:paraId="16F81907" w14:textId="77777777" w:rsidR="00476EB7" w:rsidRDefault="00000000">
            <w:pPr>
              <w:spacing w:after="0" w:line="259" w:lineRule="auto"/>
              <w:ind w:left="0" w:right="105" w:firstLine="0"/>
              <w:jc w:val="right"/>
            </w:pPr>
            <w:r>
              <w:rPr>
                <w:b/>
                <w:sz w:val="14"/>
              </w:rPr>
              <w:t xml:space="preserve">(3/1) </w:t>
            </w:r>
            <w:r>
              <w:rPr>
                <w:sz w:val="14"/>
              </w:rPr>
              <w:t xml:space="preserve"> </w:t>
            </w:r>
          </w:p>
        </w:tc>
      </w:tr>
      <w:tr w:rsidR="00476EB7" w14:paraId="4164E530" w14:textId="77777777">
        <w:trPr>
          <w:trHeight w:val="218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581B" w14:textId="77777777" w:rsidR="00476EB7" w:rsidRDefault="00000000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E07E" w14:textId="77777777" w:rsidR="00476EB7" w:rsidRDefault="00000000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sz w:val="14"/>
              </w:rPr>
              <w:t xml:space="preserve">1 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360F" w14:textId="77777777" w:rsidR="00476EB7" w:rsidRDefault="00000000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DA0D" w14:textId="77777777" w:rsidR="00476EB7" w:rsidRDefault="00000000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4"/>
              </w:rPr>
              <w:t xml:space="preserve">3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279F" w14:textId="77777777" w:rsidR="00476EB7" w:rsidRDefault="00000000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14"/>
              </w:rPr>
              <w:t xml:space="preserve">4 </w:t>
            </w:r>
            <w:r>
              <w:rPr>
                <w:sz w:val="14"/>
              </w:rPr>
              <w:t xml:space="preserve"> </w:t>
            </w:r>
          </w:p>
        </w:tc>
      </w:tr>
      <w:tr w:rsidR="00476EB7" w14:paraId="0449693D" w14:textId="77777777">
        <w:trPr>
          <w:trHeight w:val="219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47E4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Rashodi za zaposlene (31)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CD6C" w14:textId="64E97935" w:rsidR="00476EB7" w:rsidRDefault="00B71403">
            <w:pPr>
              <w:spacing w:after="0" w:line="259" w:lineRule="auto"/>
              <w:ind w:left="0" w:right="81" w:firstLine="0"/>
              <w:jc w:val="right"/>
            </w:pPr>
            <w:r>
              <w:rPr>
                <w:sz w:val="14"/>
              </w:rPr>
              <w:t>697.200,00</w:t>
            </w:r>
            <w:r w:rsidR="00F05D3D">
              <w:rPr>
                <w:sz w:val="14"/>
              </w:rPr>
              <w:t xml:space="preserve">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68AC" w14:textId="3DC8CED0" w:rsidR="00476EB7" w:rsidRDefault="00B71403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14"/>
              </w:rPr>
              <w:t>3.200,00</w:t>
            </w:r>
            <w:r w:rsidR="00F05D3D">
              <w:rPr>
                <w:sz w:val="14"/>
              </w:rPr>
              <w:t xml:space="preserve">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706A" w14:textId="1EE2A09A" w:rsidR="00476EB7" w:rsidRDefault="00B71403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14"/>
              </w:rPr>
              <w:t>700.400,00</w:t>
            </w:r>
            <w:r w:rsidR="00F05D3D">
              <w:rPr>
                <w:sz w:val="14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7BDB" w14:textId="3A7040F9" w:rsidR="00476EB7" w:rsidRDefault="00000000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14"/>
              </w:rPr>
              <w:t>1</w:t>
            </w:r>
            <w:r w:rsidR="00F05D3D">
              <w:rPr>
                <w:sz w:val="14"/>
              </w:rPr>
              <w:t>0</w:t>
            </w:r>
            <w:r w:rsidR="00B71403">
              <w:rPr>
                <w:sz w:val="14"/>
              </w:rPr>
              <w:t>1</w:t>
            </w:r>
            <w:r>
              <w:rPr>
                <w:sz w:val="14"/>
              </w:rPr>
              <w:t xml:space="preserve">  </w:t>
            </w:r>
          </w:p>
        </w:tc>
      </w:tr>
      <w:tr w:rsidR="00476EB7" w14:paraId="217A5ACB" w14:textId="77777777">
        <w:trPr>
          <w:trHeight w:val="218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F320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Materijalni rashodi (32)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BB50" w14:textId="55155DA4" w:rsidR="00476EB7" w:rsidRDefault="00B71403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14"/>
              </w:rPr>
              <w:t>1.593.800,00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B7BE" w14:textId="71C49E19" w:rsidR="00476EB7" w:rsidRDefault="00B71403">
            <w:pPr>
              <w:spacing w:after="0" w:line="259" w:lineRule="auto"/>
              <w:ind w:left="0" w:right="81" w:firstLine="0"/>
              <w:jc w:val="right"/>
            </w:pPr>
            <w:r>
              <w:rPr>
                <w:sz w:val="14"/>
              </w:rPr>
              <w:t>1</w:t>
            </w:r>
            <w:r w:rsidR="007662BF">
              <w:rPr>
                <w:sz w:val="14"/>
              </w:rPr>
              <w:t>37</w:t>
            </w:r>
            <w:r>
              <w:rPr>
                <w:sz w:val="14"/>
              </w:rPr>
              <w:t>.650,00</w:t>
            </w:r>
            <w:r w:rsidR="00F05D3D">
              <w:rPr>
                <w:sz w:val="14"/>
              </w:rPr>
              <w:t xml:space="preserve">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B908" w14:textId="712D6FB7" w:rsidR="00476EB7" w:rsidRDefault="00B71403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14"/>
              </w:rPr>
              <w:t>1.73</w:t>
            </w:r>
            <w:r w:rsidR="007662BF">
              <w:rPr>
                <w:sz w:val="14"/>
              </w:rPr>
              <w:t>1</w:t>
            </w:r>
            <w:r>
              <w:rPr>
                <w:sz w:val="14"/>
              </w:rPr>
              <w:t xml:space="preserve">.450,00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4CEA" w14:textId="23FD12C3" w:rsidR="00476EB7" w:rsidRDefault="0000000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14"/>
              </w:rPr>
              <w:t>1</w:t>
            </w:r>
            <w:r w:rsidR="00F05D3D">
              <w:rPr>
                <w:sz w:val="14"/>
              </w:rPr>
              <w:t>0</w:t>
            </w:r>
            <w:r w:rsidR="00B71403">
              <w:rPr>
                <w:sz w:val="14"/>
              </w:rPr>
              <w:t>9</w:t>
            </w:r>
            <w:r>
              <w:rPr>
                <w:sz w:val="14"/>
              </w:rPr>
              <w:t xml:space="preserve"> </w:t>
            </w:r>
          </w:p>
        </w:tc>
      </w:tr>
      <w:tr w:rsidR="00476EB7" w14:paraId="48BA78D2" w14:textId="77777777">
        <w:trPr>
          <w:trHeight w:val="30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D08C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Financijski rashodi (34)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6A8B" w14:textId="0E4FF0E8" w:rsidR="00476EB7" w:rsidRDefault="00B71403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14"/>
              </w:rPr>
              <w:t xml:space="preserve">26.272,00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2EAF" w14:textId="5535B548" w:rsidR="00476EB7" w:rsidRDefault="00B71403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14"/>
              </w:rPr>
              <w:t>1.00</w:t>
            </w:r>
            <w:r w:rsidR="00F05D3D">
              <w:rPr>
                <w:sz w:val="14"/>
              </w:rPr>
              <w:t xml:space="preserve">0,00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E7C3" w14:textId="6108D306" w:rsidR="00476EB7" w:rsidRDefault="00F05D3D">
            <w:pPr>
              <w:spacing w:after="0" w:line="259" w:lineRule="auto"/>
              <w:ind w:left="0" w:right="85" w:firstLine="0"/>
              <w:jc w:val="right"/>
            </w:pPr>
            <w:r>
              <w:rPr>
                <w:sz w:val="14"/>
              </w:rPr>
              <w:t>2</w:t>
            </w:r>
            <w:r w:rsidR="00B71403">
              <w:rPr>
                <w:sz w:val="14"/>
              </w:rPr>
              <w:t>7</w:t>
            </w:r>
            <w:r>
              <w:rPr>
                <w:sz w:val="14"/>
              </w:rPr>
              <w:t>.</w:t>
            </w:r>
            <w:r w:rsidR="00B71403">
              <w:rPr>
                <w:sz w:val="14"/>
              </w:rPr>
              <w:t>272</w:t>
            </w:r>
            <w:r>
              <w:rPr>
                <w:sz w:val="14"/>
              </w:rPr>
              <w:t xml:space="preserve">,00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E4CE" w14:textId="1B3B113D" w:rsidR="00476EB7" w:rsidRDefault="00000000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14"/>
              </w:rPr>
              <w:t>10</w:t>
            </w:r>
            <w:r w:rsidR="00B71403">
              <w:rPr>
                <w:sz w:val="14"/>
              </w:rPr>
              <w:t>4</w:t>
            </w:r>
            <w:r>
              <w:rPr>
                <w:sz w:val="14"/>
              </w:rPr>
              <w:t xml:space="preserve">  </w:t>
            </w:r>
          </w:p>
        </w:tc>
      </w:tr>
      <w:tr w:rsidR="00476EB7" w14:paraId="61BD6C35" w14:textId="77777777">
        <w:trPr>
          <w:trHeight w:val="30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DCCB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Subvencije (35)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1CAE" w14:textId="1C62EE1F" w:rsidR="00476EB7" w:rsidRDefault="00B71403">
            <w:pPr>
              <w:spacing w:after="0" w:line="259" w:lineRule="auto"/>
              <w:ind w:left="0" w:right="81" w:firstLine="0"/>
              <w:jc w:val="right"/>
            </w:pPr>
            <w:r>
              <w:rPr>
                <w:sz w:val="14"/>
              </w:rPr>
              <w:t xml:space="preserve">323.000,00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1D3F" w14:textId="4A9873C1" w:rsidR="00476EB7" w:rsidRDefault="00B71403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14"/>
              </w:rPr>
              <w:t>0,00</w:t>
            </w:r>
            <w:r w:rsidR="00F05D3D">
              <w:rPr>
                <w:sz w:val="14"/>
              </w:rPr>
              <w:t xml:space="preserve">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D227" w14:textId="74259037" w:rsidR="00476EB7" w:rsidRDefault="00F05D3D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14"/>
              </w:rPr>
              <w:t>3</w:t>
            </w:r>
            <w:r w:rsidR="00B71403">
              <w:rPr>
                <w:sz w:val="14"/>
              </w:rPr>
              <w:t>23</w:t>
            </w:r>
            <w:r>
              <w:rPr>
                <w:sz w:val="14"/>
              </w:rPr>
              <w:t xml:space="preserve">.000,00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FAF5" w14:textId="752C7A0F" w:rsidR="00476EB7" w:rsidRDefault="00000000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14"/>
              </w:rPr>
              <w:t>1</w:t>
            </w:r>
            <w:r w:rsidR="00B71403">
              <w:rPr>
                <w:sz w:val="14"/>
              </w:rPr>
              <w:t>0</w:t>
            </w:r>
            <w:r w:rsidR="00F05D3D">
              <w:rPr>
                <w:sz w:val="14"/>
              </w:rPr>
              <w:t>0</w:t>
            </w:r>
            <w:r>
              <w:rPr>
                <w:sz w:val="14"/>
              </w:rPr>
              <w:t xml:space="preserve"> </w:t>
            </w:r>
          </w:p>
        </w:tc>
      </w:tr>
      <w:tr w:rsidR="00476EB7" w14:paraId="2AFB02A6" w14:textId="77777777">
        <w:trPr>
          <w:trHeight w:val="30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19FA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Pomoći (36)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54CD" w14:textId="512227D9" w:rsidR="00476EB7" w:rsidRDefault="00B71403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14"/>
              </w:rPr>
              <w:t>54.500,00</w:t>
            </w:r>
            <w:r w:rsidR="00F05D3D">
              <w:rPr>
                <w:sz w:val="14"/>
              </w:rPr>
              <w:t xml:space="preserve">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132A" w14:textId="6E56117D" w:rsidR="00476EB7" w:rsidRDefault="00B71403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122A" w14:textId="7ED3ED7C" w:rsidR="00476EB7" w:rsidRDefault="00B71403">
            <w:pPr>
              <w:spacing w:after="0" w:line="259" w:lineRule="auto"/>
              <w:ind w:left="0" w:right="85" w:firstLine="0"/>
              <w:jc w:val="right"/>
            </w:pPr>
            <w:r>
              <w:rPr>
                <w:sz w:val="14"/>
              </w:rPr>
              <w:t>54.500,00</w:t>
            </w:r>
            <w:r w:rsidR="00F05D3D">
              <w:rPr>
                <w:sz w:val="14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C247" w14:textId="6286540A" w:rsidR="00476EB7" w:rsidRDefault="00B71403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14"/>
              </w:rPr>
              <w:t>100</w:t>
            </w:r>
          </w:p>
        </w:tc>
      </w:tr>
      <w:tr w:rsidR="00476EB7" w14:paraId="2FF4A757" w14:textId="77777777">
        <w:trPr>
          <w:trHeight w:val="379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6082" w14:textId="77777777" w:rsidR="00476EB7" w:rsidRDefault="00000000">
            <w:pPr>
              <w:spacing w:after="1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Naknade građanima i kućanstvima </w:t>
            </w:r>
          </w:p>
          <w:p w14:paraId="1C006300" w14:textId="77777777" w:rsidR="00476EB7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 xml:space="preserve">(37)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AF92" w14:textId="489F9473" w:rsidR="00476EB7" w:rsidRDefault="00B71403">
            <w:pPr>
              <w:spacing w:after="0" w:line="259" w:lineRule="auto"/>
              <w:ind w:left="0" w:right="81" w:firstLine="0"/>
              <w:jc w:val="right"/>
            </w:pPr>
            <w:r>
              <w:rPr>
                <w:sz w:val="14"/>
              </w:rPr>
              <w:t>1.230.400,00</w:t>
            </w:r>
            <w:r w:rsidR="00F05D3D">
              <w:rPr>
                <w:sz w:val="14"/>
              </w:rPr>
              <w:t xml:space="preserve">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5332" w14:textId="27E2DA66" w:rsidR="00476EB7" w:rsidRDefault="00B71403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14"/>
              </w:rPr>
              <w:t>2</w:t>
            </w:r>
            <w:r w:rsidR="00F05D3D">
              <w:rPr>
                <w:sz w:val="14"/>
              </w:rPr>
              <w:t xml:space="preserve">.000,00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993A" w14:textId="6B0461D4" w:rsidR="00476EB7" w:rsidRDefault="00F05D3D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14"/>
              </w:rPr>
              <w:t>1.</w:t>
            </w:r>
            <w:r w:rsidR="00B71403">
              <w:rPr>
                <w:sz w:val="14"/>
              </w:rPr>
              <w:t>232</w:t>
            </w:r>
            <w:r>
              <w:rPr>
                <w:sz w:val="14"/>
              </w:rPr>
              <w:t xml:space="preserve">.400,00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2DD9" w14:textId="4036B501" w:rsidR="00476EB7" w:rsidRDefault="00000000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14"/>
              </w:rPr>
              <w:t>10</w:t>
            </w:r>
            <w:r w:rsidR="00B71403">
              <w:rPr>
                <w:sz w:val="14"/>
              </w:rPr>
              <w:t>0</w:t>
            </w:r>
            <w:r>
              <w:rPr>
                <w:sz w:val="14"/>
              </w:rPr>
              <w:t xml:space="preserve">  </w:t>
            </w:r>
          </w:p>
        </w:tc>
      </w:tr>
      <w:tr w:rsidR="00476EB7" w14:paraId="5CA5165F" w14:textId="77777777">
        <w:trPr>
          <w:trHeight w:val="30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6F59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Ostali rashodi (38)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92C2" w14:textId="1DBEA716" w:rsidR="00476EB7" w:rsidRDefault="00B71403">
            <w:pPr>
              <w:spacing w:after="0" w:line="259" w:lineRule="auto"/>
              <w:ind w:left="0" w:right="81" w:firstLine="0"/>
              <w:jc w:val="right"/>
            </w:pPr>
            <w:r>
              <w:rPr>
                <w:sz w:val="14"/>
              </w:rPr>
              <w:t>528.0</w:t>
            </w:r>
            <w:r w:rsidR="008E32E8">
              <w:rPr>
                <w:sz w:val="14"/>
              </w:rPr>
              <w:t>5</w:t>
            </w:r>
            <w:r>
              <w:rPr>
                <w:sz w:val="14"/>
              </w:rPr>
              <w:t xml:space="preserve">0,00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E5C2" w14:textId="10DCF4C5" w:rsidR="00476EB7" w:rsidRDefault="00885806">
            <w:pPr>
              <w:spacing w:after="0" w:line="259" w:lineRule="auto"/>
              <w:ind w:left="0" w:right="85" w:firstLine="0"/>
              <w:jc w:val="right"/>
            </w:pPr>
            <w:r>
              <w:rPr>
                <w:sz w:val="14"/>
              </w:rPr>
              <w:t>+19</w:t>
            </w:r>
            <w:r w:rsidR="00F05D3D">
              <w:rPr>
                <w:sz w:val="14"/>
              </w:rPr>
              <w:t>.</w:t>
            </w:r>
            <w:r>
              <w:rPr>
                <w:sz w:val="14"/>
              </w:rPr>
              <w:t>1</w:t>
            </w:r>
            <w:r w:rsidR="00B71403">
              <w:rPr>
                <w:sz w:val="14"/>
              </w:rPr>
              <w:t>5</w:t>
            </w:r>
            <w:r w:rsidR="00F05D3D">
              <w:rPr>
                <w:sz w:val="14"/>
              </w:rPr>
              <w:t xml:space="preserve">0,00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0FAF" w14:textId="289473FF" w:rsidR="00476EB7" w:rsidRDefault="00B71403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14"/>
              </w:rPr>
              <w:t>5</w:t>
            </w:r>
            <w:r w:rsidR="00885806">
              <w:rPr>
                <w:sz w:val="14"/>
              </w:rPr>
              <w:t>4</w:t>
            </w:r>
            <w:r>
              <w:rPr>
                <w:sz w:val="14"/>
              </w:rPr>
              <w:t xml:space="preserve">7.200,00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55A2" w14:textId="3CCA4905" w:rsidR="00476EB7" w:rsidRDefault="00885806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14"/>
              </w:rPr>
              <w:t>104</w:t>
            </w:r>
            <w:r w:rsidR="00B71403">
              <w:rPr>
                <w:sz w:val="14"/>
              </w:rPr>
              <w:t xml:space="preserve"> </w:t>
            </w:r>
          </w:p>
        </w:tc>
      </w:tr>
      <w:tr w:rsidR="00476EB7" w14:paraId="6A5BF972" w14:textId="77777777">
        <w:trPr>
          <w:trHeight w:val="252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1147" w14:textId="77777777" w:rsidR="00476EB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Rashodi za nabavu </w:t>
            </w:r>
            <w:proofErr w:type="spellStart"/>
            <w:r>
              <w:rPr>
                <w:sz w:val="14"/>
              </w:rPr>
              <w:t>nef</w:t>
            </w:r>
            <w:proofErr w:type="spellEnd"/>
            <w:r>
              <w:rPr>
                <w:sz w:val="14"/>
              </w:rPr>
              <w:t xml:space="preserve">. Imovine (4)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B7AC" w14:textId="7121C337" w:rsidR="00476EB7" w:rsidRDefault="00B71403">
            <w:pPr>
              <w:spacing w:after="0" w:line="259" w:lineRule="auto"/>
              <w:ind w:left="0" w:right="81" w:firstLine="0"/>
              <w:jc w:val="right"/>
            </w:pPr>
            <w:r>
              <w:rPr>
                <w:sz w:val="14"/>
              </w:rPr>
              <w:t xml:space="preserve">3.724.200,00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0405" w14:textId="011857D3" w:rsidR="00476EB7" w:rsidRDefault="00B71403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14"/>
              </w:rPr>
              <w:t>-</w:t>
            </w:r>
            <w:r w:rsidR="00885806">
              <w:rPr>
                <w:sz w:val="14"/>
              </w:rPr>
              <w:t>55</w:t>
            </w:r>
            <w:r>
              <w:rPr>
                <w:sz w:val="14"/>
              </w:rPr>
              <w:t>.000,00</w:t>
            </w:r>
            <w:r w:rsidR="004A0627">
              <w:rPr>
                <w:sz w:val="14"/>
              </w:rPr>
              <w:t xml:space="preserve">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190B" w14:textId="2014EE69" w:rsidR="00476EB7" w:rsidRDefault="00B71403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14"/>
              </w:rPr>
              <w:t>3.6</w:t>
            </w:r>
            <w:r w:rsidR="00885806">
              <w:rPr>
                <w:sz w:val="14"/>
              </w:rPr>
              <w:t>69</w:t>
            </w:r>
            <w:r>
              <w:rPr>
                <w:sz w:val="14"/>
              </w:rPr>
              <w:t>.200,00</w:t>
            </w:r>
            <w:r w:rsidR="004A0627">
              <w:rPr>
                <w:sz w:val="14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AF82" w14:textId="6528BEA3" w:rsidR="00476EB7" w:rsidRDefault="00B71403">
            <w:pPr>
              <w:spacing w:after="0" w:line="259" w:lineRule="auto"/>
              <w:ind w:left="136" w:right="0" w:firstLine="0"/>
              <w:jc w:val="left"/>
            </w:pPr>
            <w:r>
              <w:rPr>
                <w:sz w:val="14"/>
              </w:rPr>
              <w:t>9</w:t>
            </w:r>
            <w:r w:rsidR="00885806">
              <w:rPr>
                <w:sz w:val="14"/>
              </w:rPr>
              <w:t>8</w:t>
            </w:r>
          </w:p>
        </w:tc>
      </w:tr>
      <w:tr w:rsidR="00476EB7" w14:paraId="2B63E8A6" w14:textId="77777777">
        <w:trPr>
          <w:trHeight w:val="413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87EB" w14:textId="77777777" w:rsidR="00476EB7" w:rsidRDefault="00000000">
            <w:pPr>
              <w:spacing w:after="0" w:line="259" w:lineRule="auto"/>
              <w:ind w:right="0"/>
            </w:pPr>
            <w:r>
              <w:rPr>
                <w:sz w:val="14"/>
              </w:rPr>
              <w:t xml:space="preserve">Izdaci za otplatu glavnice primljenih kredita i zajmova (5)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25BB" w14:textId="77777777" w:rsidR="00476EB7" w:rsidRDefault="00000000">
            <w:pPr>
              <w:spacing w:after="0" w:line="259" w:lineRule="auto"/>
              <w:ind w:left="0" w:right="81" w:firstLine="0"/>
              <w:jc w:val="right"/>
            </w:pPr>
            <w:r>
              <w:rPr>
                <w:sz w:val="14"/>
              </w:rPr>
              <w:t xml:space="preserve">222.578,00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24DE" w14:textId="77777777" w:rsidR="00476EB7" w:rsidRDefault="004A0627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14"/>
              </w:rPr>
              <w:t xml:space="preserve">0,00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1964" w14:textId="77777777" w:rsidR="00476EB7" w:rsidRDefault="004A0627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14"/>
              </w:rPr>
              <w:t xml:space="preserve">222.578,00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C269" w14:textId="77777777" w:rsidR="00476EB7" w:rsidRDefault="00000000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14"/>
              </w:rPr>
              <w:t>10</w:t>
            </w:r>
            <w:r w:rsidR="004A0627">
              <w:rPr>
                <w:sz w:val="14"/>
              </w:rPr>
              <w:t>0</w:t>
            </w:r>
            <w:r>
              <w:rPr>
                <w:sz w:val="14"/>
              </w:rPr>
              <w:t xml:space="preserve">  </w:t>
            </w:r>
          </w:p>
        </w:tc>
      </w:tr>
      <w:tr w:rsidR="00476EB7" w14:paraId="396260D4" w14:textId="77777777">
        <w:trPr>
          <w:trHeight w:val="28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2E0EC1E" w14:textId="77777777" w:rsidR="00476EB7" w:rsidRDefault="00000000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sz w:val="14"/>
              </w:rPr>
              <w:t xml:space="preserve">UKUPNO 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9CF1423" w14:textId="34919F82" w:rsidR="00476EB7" w:rsidRDefault="00B71403">
            <w:pPr>
              <w:spacing w:after="0" w:line="259" w:lineRule="auto"/>
              <w:ind w:left="0" w:right="79" w:firstLine="0"/>
              <w:jc w:val="right"/>
            </w:pPr>
            <w:r>
              <w:rPr>
                <w:b/>
                <w:sz w:val="14"/>
              </w:rPr>
              <w:t>8.400.000,00</w:t>
            </w:r>
            <w:r w:rsidR="004A0627">
              <w:rPr>
                <w:sz w:val="14"/>
              </w:rPr>
              <w:t xml:space="preserve">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844695F" w14:textId="78978A66" w:rsidR="00476EB7" w:rsidRDefault="00B71403">
            <w:pPr>
              <w:spacing w:after="0" w:line="259" w:lineRule="auto"/>
              <w:ind w:left="0" w:right="83" w:firstLine="0"/>
              <w:jc w:val="right"/>
            </w:pPr>
            <w:r>
              <w:rPr>
                <w:b/>
                <w:sz w:val="14"/>
              </w:rPr>
              <w:t>+</w:t>
            </w:r>
            <w:r w:rsidR="007662BF">
              <w:rPr>
                <w:b/>
                <w:sz w:val="14"/>
              </w:rPr>
              <w:t>1</w:t>
            </w:r>
            <w:r w:rsidR="00885806">
              <w:rPr>
                <w:b/>
                <w:sz w:val="14"/>
              </w:rPr>
              <w:t>08</w:t>
            </w:r>
            <w:r>
              <w:rPr>
                <w:b/>
                <w:sz w:val="14"/>
              </w:rPr>
              <w:t>.000,00</w:t>
            </w:r>
            <w:r w:rsidR="004A0627">
              <w:rPr>
                <w:b/>
                <w:sz w:val="14"/>
              </w:rPr>
              <w:t xml:space="preserve"> </w:t>
            </w:r>
            <w:r w:rsidR="004A0627">
              <w:rPr>
                <w:sz w:val="1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38B0F4C" w14:textId="33D45297" w:rsidR="00476EB7" w:rsidRPr="00BC1332" w:rsidRDefault="00B71403">
            <w:pPr>
              <w:spacing w:after="0" w:line="259" w:lineRule="auto"/>
              <w:ind w:left="0" w:right="83" w:firstLine="0"/>
              <w:jc w:val="right"/>
              <w:rPr>
                <w:b/>
                <w:bCs/>
              </w:rPr>
            </w:pPr>
            <w:r w:rsidRPr="00BC1332">
              <w:rPr>
                <w:b/>
                <w:bCs/>
                <w:sz w:val="14"/>
              </w:rPr>
              <w:t>8.</w:t>
            </w:r>
            <w:r w:rsidR="00885806">
              <w:rPr>
                <w:b/>
                <w:bCs/>
                <w:sz w:val="14"/>
              </w:rPr>
              <w:t>508</w:t>
            </w:r>
            <w:r w:rsidRPr="00BC1332">
              <w:rPr>
                <w:b/>
                <w:bCs/>
                <w:sz w:val="14"/>
              </w:rPr>
              <w:t>.000,00</w:t>
            </w:r>
            <w:r w:rsidR="004A0627" w:rsidRPr="00BC1332">
              <w:rPr>
                <w:b/>
                <w:bCs/>
                <w:sz w:val="14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8D68969" w14:textId="4842230F" w:rsidR="00476EB7" w:rsidRDefault="00000000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14"/>
              </w:rPr>
              <w:t>1</w:t>
            </w:r>
            <w:r w:rsidR="00885806">
              <w:rPr>
                <w:sz w:val="14"/>
              </w:rPr>
              <w:t>01</w:t>
            </w:r>
            <w:r>
              <w:rPr>
                <w:sz w:val="14"/>
              </w:rPr>
              <w:t xml:space="preserve"> </w:t>
            </w:r>
          </w:p>
        </w:tc>
      </w:tr>
    </w:tbl>
    <w:p w14:paraId="0E297D22" w14:textId="77777777" w:rsidR="00476EB7" w:rsidRDefault="00000000">
      <w:pPr>
        <w:spacing w:after="141" w:line="259" w:lineRule="auto"/>
        <w:ind w:left="0" w:right="0" w:firstLine="0"/>
        <w:jc w:val="left"/>
        <w:rPr>
          <w:b/>
          <w:color w:val="C00000"/>
        </w:rPr>
      </w:pPr>
      <w:r>
        <w:rPr>
          <w:b/>
          <w:color w:val="C00000"/>
        </w:rPr>
        <w:t xml:space="preserve"> </w:t>
      </w:r>
    </w:p>
    <w:p w14:paraId="70CF9B58" w14:textId="77777777" w:rsidR="007F7592" w:rsidRDefault="007F7592">
      <w:pPr>
        <w:spacing w:after="141" w:line="259" w:lineRule="auto"/>
        <w:ind w:left="0" w:right="0" w:firstLine="0"/>
        <w:jc w:val="left"/>
      </w:pPr>
    </w:p>
    <w:p w14:paraId="68B24C34" w14:textId="77777777" w:rsidR="00476EB7" w:rsidRPr="007F7592" w:rsidRDefault="00000000">
      <w:pPr>
        <w:spacing w:after="0" w:line="259" w:lineRule="auto"/>
        <w:ind w:left="0" w:right="0" w:firstLine="0"/>
        <w:jc w:val="left"/>
        <w:rPr>
          <w:color w:val="auto"/>
        </w:rPr>
      </w:pPr>
      <w:r w:rsidRPr="007F7592">
        <w:rPr>
          <w:b/>
          <w:color w:val="auto"/>
        </w:rPr>
        <w:t xml:space="preserve">Grafikon 2. </w:t>
      </w:r>
      <w:r w:rsidRPr="007F7592">
        <w:rPr>
          <w:rFonts w:ascii="Calibri" w:eastAsia="Calibri" w:hAnsi="Calibri" w:cs="Calibri"/>
          <w:color w:val="auto"/>
        </w:rPr>
        <w:t xml:space="preserve"> </w:t>
      </w:r>
    </w:p>
    <w:p w14:paraId="1B225257" w14:textId="505B04F0" w:rsidR="00476EB7" w:rsidRDefault="00DD0818">
      <w:pPr>
        <w:spacing w:after="205" w:line="259" w:lineRule="auto"/>
        <w:ind w:left="1544" w:right="0" w:firstLine="0"/>
        <w:jc w:val="left"/>
      </w:pPr>
      <w:r>
        <w:rPr>
          <w:noProof/>
        </w:rPr>
        <w:drawing>
          <wp:inline distT="0" distB="0" distL="0" distR="0" wp14:anchorId="4ED94387" wp14:editId="000071CE">
            <wp:extent cx="4572000" cy="2743200"/>
            <wp:effectExtent l="0" t="0" r="0" b="0"/>
            <wp:docPr id="206233553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131B40E1-37DA-E6A8-6F89-F50606E246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EBD9938" w14:textId="77777777" w:rsidR="00476EB7" w:rsidRDefault="00000000">
      <w:pPr>
        <w:ind w:left="5" w:right="0"/>
      </w:pPr>
      <w:r>
        <w:t xml:space="preserve">Izvor: Proračun Općine Jelenje </w:t>
      </w:r>
      <w:r>
        <w:rPr>
          <w:rFonts w:ascii="Calibri" w:eastAsia="Calibri" w:hAnsi="Calibri" w:cs="Calibri"/>
        </w:rPr>
        <w:t xml:space="preserve"> </w:t>
      </w:r>
    </w:p>
    <w:p w14:paraId="607C63E7" w14:textId="77777777" w:rsidR="007F7592" w:rsidRDefault="007F7592" w:rsidP="00AB0D7E">
      <w:pPr>
        <w:spacing w:after="158"/>
        <w:ind w:left="5" w:right="0"/>
        <w:rPr>
          <w:highlight w:val="yellow"/>
        </w:rPr>
      </w:pPr>
    </w:p>
    <w:p w14:paraId="026E4B9A" w14:textId="2355C67A" w:rsidR="00AB0D7E" w:rsidRPr="008E32E8" w:rsidRDefault="00AB0D7E" w:rsidP="00AB0D7E">
      <w:pPr>
        <w:spacing w:after="158"/>
        <w:ind w:left="5" w:right="0"/>
      </w:pPr>
      <w:r w:rsidRPr="008E32E8">
        <w:t>Ovim Izmjenama i dopunama Proračuna za 2026. godinu porasli su Rashodi poslovanja za 3,</w:t>
      </w:r>
      <w:r w:rsidR="00DE7C6F">
        <w:t>7</w:t>
      </w:r>
      <w:r w:rsidRPr="008E32E8">
        <w:t xml:space="preserve">%, dok su rashodi za nabavu nefinancijske imovine smanjeni za </w:t>
      </w:r>
      <w:r w:rsidR="00DE7C6F">
        <w:t>1</w:t>
      </w:r>
      <w:r w:rsidRPr="008E32E8">
        <w:t>,</w:t>
      </w:r>
      <w:r w:rsidR="00DE7C6F">
        <w:t>5</w:t>
      </w:r>
      <w:r w:rsidRPr="008E32E8">
        <w:t>%</w:t>
      </w:r>
      <w:r w:rsidRPr="008E32E8">
        <w:rPr>
          <w:rFonts w:ascii="Calibri" w:eastAsia="Calibri" w:hAnsi="Calibri" w:cs="Calibri"/>
        </w:rPr>
        <w:t xml:space="preserve"> </w:t>
      </w:r>
    </w:p>
    <w:p w14:paraId="5C5705F8" w14:textId="77777777" w:rsidR="00AB0D7E" w:rsidRPr="008E32E8" w:rsidRDefault="00AB0D7E" w:rsidP="00AB0D7E">
      <w:pPr>
        <w:ind w:left="5" w:right="0"/>
      </w:pPr>
      <w:r w:rsidRPr="008E32E8">
        <w:t xml:space="preserve">Unutar skupine </w:t>
      </w:r>
      <w:r w:rsidRPr="008E32E8">
        <w:rPr>
          <w:b/>
          <w:bCs/>
        </w:rPr>
        <w:t>rashoda poslovanja</w:t>
      </w:r>
      <w:r w:rsidRPr="008E32E8">
        <w:t xml:space="preserve"> došlo je do slijedećih izmjena:  </w:t>
      </w:r>
    </w:p>
    <w:p w14:paraId="6B9152CA" w14:textId="6134258D" w:rsidR="00AB0D7E" w:rsidRPr="008E32E8" w:rsidRDefault="00AB0D7E" w:rsidP="008E32E8">
      <w:pPr>
        <w:pStyle w:val="ListParagraph"/>
        <w:numPr>
          <w:ilvl w:val="0"/>
          <w:numId w:val="4"/>
        </w:numPr>
        <w:spacing w:after="157"/>
        <w:ind w:right="0"/>
      </w:pPr>
      <w:r w:rsidRPr="008E32E8">
        <w:t xml:space="preserve">rashodi za zaposlene (31) za 0,5% </w:t>
      </w:r>
    </w:p>
    <w:p w14:paraId="4121F117" w14:textId="220515AE" w:rsidR="00AB0D7E" w:rsidRPr="008E32E8" w:rsidRDefault="00AB0D7E" w:rsidP="00AB0D7E">
      <w:pPr>
        <w:pStyle w:val="ListParagraph"/>
        <w:numPr>
          <w:ilvl w:val="0"/>
          <w:numId w:val="4"/>
        </w:numPr>
        <w:spacing w:after="160"/>
        <w:ind w:right="0"/>
      </w:pPr>
      <w:r w:rsidRPr="008E32E8">
        <w:t xml:space="preserve">materijalni rashodi (32) za </w:t>
      </w:r>
      <w:r w:rsidR="00875BCF" w:rsidRPr="008E32E8">
        <w:t>8</w:t>
      </w:r>
      <w:r w:rsidRPr="008E32E8">
        <w:t>,</w:t>
      </w:r>
      <w:r w:rsidR="00875BCF" w:rsidRPr="008E32E8">
        <w:t>6</w:t>
      </w:r>
      <w:r w:rsidRPr="008E32E8">
        <w:t xml:space="preserve">% </w:t>
      </w:r>
      <w:r w:rsidRPr="008E32E8">
        <w:rPr>
          <w:rFonts w:eastAsia="Calibri"/>
        </w:rPr>
        <w:t xml:space="preserve"> </w:t>
      </w:r>
    </w:p>
    <w:p w14:paraId="4E2AD3CD" w14:textId="77777777" w:rsidR="00AB0D7E" w:rsidRPr="008E32E8" w:rsidRDefault="00AB0D7E" w:rsidP="00AB0D7E">
      <w:pPr>
        <w:pStyle w:val="ListParagraph"/>
        <w:numPr>
          <w:ilvl w:val="0"/>
          <w:numId w:val="4"/>
        </w:numPr>
        <w:spacing w:after="160"/>
        <w:ind w:right="0"/>
      </w:pPr>
      <w:r w:rsidRPr="008E32E8">
        <w:rPr>
          <w:rFonts w:eastAsia="Calibri"/>
        </w:rPr>
        <w:t>financijski rashodi (34) za 3,8%</w:t>
      </w:r>
    </w:p>
    <w:p w14:paraId="5C0C2E25" w14:textId="3F7FC206" w:rsidR="00AB0D7E" w:rsidRPr="008E32E8" w:rsidRDefault="00AB0D7E" w:rsidP="00AB0D7E">
      <w:pPr>
        <w:pStyle w:val="ListParagraph"/>
        <w:numPr>
          <w:ilvl w:val="0"/>
          <w:numId w:val="4"/>
        </w:numPr>
        <w:spacing w:after="160"/>
        <w:ind w:right="0" w:firstLine="0"/>
      </w:pPr>
      <w:r w:rsidRPr="008E32E8">
        <w:t xml:space="preserve">naknade građanima i kućanstvima na temelju osiguranja i dr. naknade (37) za 0,2% </w:t>
      </w:r>
    </w:p>
    <w:p w14:paraId="4571FAFA" w14:textId="75C85975" w:rsidR="00AB0D7E" w:rsidRPr="008E32E8" w:rsidRDefault="00AB0D7E" w:rsidP="008E32E8">
      <w:pPr>
        <w:pStyle w:val="ListParagraph"/>
        <w:numPr>
          <w:ilvl w:val="0"/>
          <w:numId w:val="4"/>
        </w:numPr>
        <w:spacing w:after="9"/>
        <w:ind w:right="0"/>
        <w:rPr>
          <w:rFonts w:ascii="Calibri" w:eastAsia="Calibri" w:hAnsi="Calibri" w:cs="Calibri"/>
        </w:rPr>
      </w:pPr>
      <w:r w:rsidRPr="008E32E8">
        <w:lastRenderedPageBreak/>
        <w:t xml:space="preserve">ostali rashodi (38) </w:t>
      </w:r>
      <w:r w:rsidR="00DE7C6F">
        <w:t>povećavaju za 3,6</w:t>
      </w:r>
      <w:r w:rsidRPr="008E32E8">
        <w:t xml:space="preserve">%           </w:t>
      </w:r>
    </w:p>
    <w:p w14:paraId="40B62BF3" w14:textId="77777777" w:rsidR="00AB0D7E" w:rsidRPr="008E32E8" w:rsidRDefault="00AB0D7E" w:rsidP="00AB0D7E">
      <w:pPr>
        <w:ind w:left="5" w:right="0"/>
      </w:pPr>
      <w:r w:rsidRPr="008E32E8">
        <w:rPr>
          <w:rFonts w:ascii="Calibri" w:eastAsia="Calibri" w:hAnsi="Calibri" w:cs="Calibri"/>
        </w:rPr>
        <w:t xml:space="preserve"> </w:t>
      </w:r>
      <w:r w:rsidRPr="008E32E8">
        <w:t xml:space="preserve">Unutar skupine </w:t>
      </w:r>
      <w:r w:rsidRPr="008E32E8">
        <w:rPr>
          <w:b/>
          <w:bCs/>
        </w:rPr>
        <w:t>rashoda za nabavu nefinancijske imovine</w:t>
      </w:r>
      <w:r w:rsidRPr="008E32E8">
        <w:t xml:space="preserve"> došlo je do slijedećih izmjena:  </w:t>
      </w:r>
    </w:p>
    <w:p w14:paraId="2F9ED302" w14:textId="13306848" w:rsidR="00AB0D7E" w:rsidRPr="008E32E8" w:rsidRDefault="00AB0D7E" w:rsidP="00CE1EEB">
      <w:pPr>
        <w:pStyle w:val="ListParagraph"/>
        <w:numPr>
          <w:ilvl w:val="0"/>
          <w:numId w:val="4"/>
        </w:numPr>
        <w:spacing w:after="161"/>
        <w:ind w:right="0"/>
      </w:pPr>
      <w:r w:rsidRPr="008E32E8">
        <w:t>Povećani su</w:t>
      </w:r>
      <w:r w:rsidR="008E32E8">
        <w:t xml:space="preserve"> </w:t>
      </w:r>
      <w:r w:rsidRPr="008E32E8">
        <w:t xml:space="preserve">rashodi za nabavu proizvedene dugotrajne imovine (42) za </w:t>
      </w:r>
      <w:r w:rsidR="009E2B53">
        <w:t>4</w:t>
      </w:r>
      <w:r w:rsidRPr="008E32E8">
        <w:t>,</w:t>
      </w:r>
      <w:r w:rsidR="009E2B53">
        <w:t>9</w:t>
      </w:r>
      <w:r w:rsidRPr="008E32E8">
        <w:t xml:space="preserve">% </w:t>
      </w:r>
    </w:p>
    <w:p w14:paraId="0CF43880" w14:textId="27965801" w:rsidR="00AB0D7E" w:rsidRDefault="008E32E8" w:rsidP="00AB0D7E">
      <w:pPr>
        <w:pStyle w:val="ListParagraph"/>
        <w:numPr>
          <w:ilvl w:val="0"/>
          <w:numId w:val="4"/>
        </w:numPr>
        <w:spacing w:after="9"/>
        <w:ind w:right="0" w:firstLine="0"/>
      </w:pPr>
      <w:r>
        <w:t>Smanjeni su</w:t>
      </w:r>
      <w:r w:rsidR="00AB0D7E" w:rsidRPr="008E32E8">
        <w:t xml:space="preserve"> rashodi za dodatna ulaganja na nefinancijskoj imovini (45) za 5,3% </w:t>
      </w:r>
    </w:p>
    <w:p w14:paraId="167ACF77" w14:textId="77777777" w:rsidR="008E32E8" w:rsidRDefault="008E32E8" w:rsidP="008E32E8">
      <w:pPr>
        <w:pStyle w:val="ListParagraph"/>
        <w:spacing w:after="9"/>
        <w:ind w:left="10" w:right="0" w:firstLine="0"/>
      </w:pPr>
    </w:p>
    <w:p w14:paraId="41978A71" w14:textId="7ADF72B6" w:rsidR="008E32E8" w:rsidRPr="008E32E8" w:rsidRDefault="008E32E8" w:rsidP="008E32E8">
      <w:pPr>
        <w:pStyle w:val="ListParagraph"/>
        <w:spacing w:after="9"/>
        <w:ind w:left="10" w:right="0" w:firstLine="0"/>
      </w:pPr>
      <w:r>
        <w:t>Detaljno objašnjenje slijedi u nastavku</w:t>
      </w:r>
      <w:r w:rsidR="009715E7">
        <w:t>.</w:t>
      </w:r>
    </w:p>
    <w:p w14:paraId="102831BD" w14:textId="77777777" w:rsidR="00AB0D7E" w:rsidRPr="008E32E8" w:rsidRDefault="00AB0D7E" w:rsidP="00AB0D7E">
      <w:pPr>
        <w:spacing w:after="145" w:line="259" w:lineRule="auto"/>
        <w:ind w:left="104" w:right="0" w:firstLine="0"/>
        <w:jc w:val="center"/>
      </w:pPr>
      <w:r w:rsidRPr="008E32E8">
        <w:t xml:space="preserve"> </w:t>
      </w:r>
      <w:r w:rsidRPr="008E32E8">
        <w:rPr>
          <w:rFonts w:ascii="Calibri" w:eastAsia="Calibri" w:hAnsi="Calibri" w:cs="Calibri"/>
        </w:rPr>
        <w:t xml:space="preserve"> </w:t>
      </w:r>
    </w:p>
    <w:p w14:paraId="7108CBB7" w14:textId="77777777" w:rsidR="00AB0D7E" w:rsidRPr="008E32E8" w:rsidRDefault="00AB0D7E" w:rsidP="00AB0D7E">
      <w:pPr>
        <w:spacing w:after="0" w:line="383" w:lineRule="auto"/>
        <w:ind w:left="-5" w:right="0"/>
      </w:pPr>
      <w:r w:rsidRPr="008E32E8">
        <w:rPr>
          <w:b/>
        </w:rPr>
        <w:t xml:space="preserve">III. OBRAZLOŽENJE IZMJENA I DOPUNA PLANIRANIH RASHODA PO PROGRAMSKOJ </w:t>
      </w:r>
      <w:r w:rsidRPr="008E32E8">
        <w:rPr>
          <w:rFonts w:ascii="Calibri" w:eastAsia="Calibri" w:hAnsi="Calibri" w:cs="Calibri"/>
        </w:rPr>
        <w:t xml:space="preserve"> </w:t>
      </w:r>
      <w:r w:rsidRPr="008E32E8">
        <w:rPr>
          <w:b/>
        </w:rPr>
        <w:t xml:space="preserve">KLASIFIKACIJI:  </w:t>
      </w:r>
      <w:r w:rsidRPr="008E32E8">
        <w:rPr>
          <w:rFonts w:ascii="Calibri" w:eastAsia="Calibri" w:hAnsi="Calibri" w:cs="Calibri"/>
        </w:rPr>
        <w:t xml:space="preserve"> </w:t>
      </w:r>
    </w:p>
    <w:p w14:paraId="797C2430" w14:textId="77777777" w:rsidR="00AB0D7E" w:rsidRPr="008E32E8" w:rsidRDefault="00AB0D7E" w:rsidP="00AB0D7E">
      <w:pPr>
        <w:spacing w:after="133" w:line="261" w:lineRule="auto"/>
        <w:ind w:left="-5" w:right="0"/>
      </w:pPr>
      <w:r w:rsidRPr="008E32E8">
        <w:rPr>
          <w:b/>
        </w:rPr>
        <w:t>PROGRAM – Donošenje akata i mjera iz djelokruga predstavničkog, izvršnog tijela i mjesne samouprave</w:t>
      </w:r>
      <w:r w:rsidRPr="008E32E8">
        <w:t xml:space="preserve"> povećava se za 1.000,00 eura.  </w:t>
      </w:r>
      <w:r w:rsidRPr="008E32E8">
        <w:rPr>
          <w:rFonts w:ascii="Calibri" w:eastAsia="Calibri" w:hAnsi="Calibri" w:cs="Calibri"/>
        </w:rPr>
        <w:t xml:space="preserve"> </w:t>
      </w:r>
    </w:p>
    <w:p w14:paraId="2A853741" w14:textId="77777777" w:rsidR="00AB0D7E" w:rsidRPr="008E32E8" w:rsidRDefault="00AB0D7E" w:rsidP="00AB0D7E">
      <w:pPr>
        <w:spacing w:after="9"/>
        <w:ind w:left="5" w:right="0"/>
      </w:pPr>
      <w:r w:rsidRPr="008E32E8">
        <w:t>Unutar navedenog programa, glava Načelnik, dolazi do povećanja u iznosu od 1.000,00 eura.</w:t>
      </w:r>
    </w:p>
    <w:p w14:paraId="53A58F28" w14:textId="77777777" w:rsidR="00AB0D7E" w:rsidRPr="008E32E8" w:rsidRDefault="00AB0D7E" w:rsidP="00AB0D7E">
      <w:pPr>
        <w:spacing w:after="9"/>
        <w:ind w:left="5" w:right="0"/>
      </w:pPr>
      <w:r w:rsidRPr="008E32E8">
        <w:t xml:space="preserve">Povećanje se odnosi na Aktivnost A100116 – Obilježavanje 100 godina planinarskog doma </w:t>
      </w:r>
      <w:proofErr w:type="spellStart"/>
      <w:r w:rsidRPr="008E32E8">
        <w:t>Hahlić</w:t>
      </w:r>
      <w:proofErr w:type="spellEnd"/>
      <w:r w:rsidRPr="008E32E8">
        <w:t xml:space="preserve"> koja se povećava za iznos od 1.000,00 eura zbog podmirenja troškova koji će nastati prilikom izlaska brošure vezana uz obilježavanje spomenutog događaja. </w:t>
      </w:r>
    </w:p>
    <w:p w14:paraId="1171C382" w14:textId="77777777" w:rsidR="00AB0D7E" w:rsidRPr="008E32E8" w:rsidRDefault="00AB0D7E" w:rsidP="00AB0D7E">
      <w:pPr>
        <w:spacing w:after="9"/>
        <w:ind w:left="5" w:right="0"/>
      </w:pPr>
    </w:p>
    <w:p w14:paraId="5465FAC3" w14:textId="4546DA90" w:rsidR="00AB0D7E" w:rsidRPr="008E32E8" w:rsidRDefault="00AB0D7E" w:rsidP="00AB0D7E">
      <w:pPr>
        <w:ind w:left="5" w:right="0"/>
      </w:pPr>
      <w:r w:rsidRPr="008E32E8">
        <w:rPr>
          <w:b/>
        </w:rPr>
        <w:t>PROGRAM</w:t>
      </w:r>
      <w:r w:rsidRPr="008E32E8">
        <w:t xml:space="preserve"> – </w:t>
      </w:r>
      <w:r w:rsidRPr="008E32E8">
        <w:rPr>
          <w:b/>
        </w:rPr>
        <w:t>Lokalna samouprava</w:t>
      </w:r>
      <w:r w:rsidRPr="008E32E8">
        <w:t xml:space="preserve">, povećava se za </w:t>
      </w:r>
      <w:r w:rsidR="00875BCF" w:rsidRPr="009715E7">
        <w:rPr>
          <w:color w:val="auto"/>
        </w:rPr>
        <w:t xml:space="preserve">45.850,00 </w:t>
      </w:r>
      <w:r w:rsidRPr="008E32E8">
        <w:t xml:space="preserve">eura.  </w:t>
      </w:r>
    </w:p>
    <w:p w14:paraId="6751EEF1" w14:textId="77777777" w:rsidR="00AB0D7E" w:rsidRPr="008E32E8" w:rsidRDefault="00AB0D7E" w:rsidP="00AB0D7E">
      <w:pPr>
        <w:ind w:left="5" w:right="0"/>
      </w:pPr>
      <w:r w:rsidRPr="008E32E8">
        <w:rPr>
          <w:bCs/>
        </w:rPr>
        <w:t>Aktivnost A102301 Rashodi za zaposlene</w:t>
      </w:r>
      <w:r w:rsidRPr="008E32E8">
        <w:t xml:space="preserve"> povećava se za iznos od 3.200,00 eura na ime ostvarenja prava iz obveznog mirovinskog osiguranja na temelju generacijske solidarnosti prema odredbama općeg propisa o mirovinskom osiguranju i prema odredbama Zakona o stažu osiguranja s povećanim trajanjem.</w:t>
      </w:r>
    </w:p>
    <w:p w14:paraId="4D48872A" w14:textId="2C386741" w:rsidR="00AB0D7E" w:rsidRPr="008E32E8" w:rsidRDefault="00AB0D7E" w:rsidP="00AB0D7E">
      <w:pPr>
        <w:ind w:left="0" w:right="0" w:firstLine="0"/>
      </w:pPr>
      <w:r w:rsidRPr="008E32E8">
        <w:t xml:space="preserve"> Aktivnost A102302 Materijalni rashodi povećava se </w:t>
      </w:r>
      <w:r w:rsidR="00875BCF" w:rsidRPr="009715E7">
        <w:rPr>
          <w:color w:val="auto"/>
        </w:rPr>
        <w:t xml:space="preserve">za 41.150,00 </w:t>
      </w:r>
      <w:r w:rsidRPr="008E32E8">
        <w:t xml:space="preserve">eura, </w:t>
      </w:r>
      <w:r w:rsidR="0041490E">
        <w:t xml:space="preserve">a odnosi se na: </w:t>
      </w:r>
      <w:r w:rsidRPr="008E32E8">
        <w:t xml:space="preserve">  </w:t>
      </w:r>
    </w:p>
    <w:p w14:paraId="72763A82" w14:textId="38BD57FB" w:rsidR="00AB0D7E" w:rsidRPr="008E32E8" w:rsidRDefault="00AB0D7E" w:rsidP="00AB0D7E">
      <w:pPr>
        <w:numPr>
          <w:ilvl w:val="0"/>
          <w:numId w:val="6"/>
        </w:numPr>
        <w:spacing w:after="172"/>
        <w:ind w:right="0"/>
      </w:pPr>
      <w:r w:rsidRPr="008E32E8">
        <w:t xml:space="preserve">Stručno usavršavanje zaposlenika povećava se za iznos od 3.000,00 eura na ime </w:t>
      </w:r>
      <w:r w:rsidR="001F7D5F">
        <w:t>povećanih kotizacija</w:t>
      </w:r>
      <w:r w:rsidRPr="008E32E8">
        <w:t xml:space="preserve"> za seminare </w:t>
      </w:r>
    </w:p>
    <w:p w14:paraId="3CAF8EC7" w14:textId="3ECC2971" w:rsidR="00AB0D7E" w:rsidRPr="008E32E8" w:rsidRDefault="00AB0D7E" w:rsidP="00AB0D7E">
      <w:pPr>
        <w:numPr>
          <w:ilvl w:val="0"/>
          <w:numId w:val="6"/>
        </w:numPr>
        <w:spacing w:after="172"/>
        <w:ind w:right="0"/>
      </w:pPr>
      <w:r w:rsidRPr="008E32E8">
        <w:t>Uredski materijal i ostali materijalni rashodi povećava se za iznos od 4.000,00 eura zbog povećanja cijena artikala koja je rezultat globalnih gospodarskih pritisaka</w:t>
      </w:r>
    </w:p>
    <w:p w14:paraId="36054461" w14:textId="7CB5587E" w:rsidR="00AB0D7E" w:rsidRPr="008E32E8" w:rsidRDefault="00AB0D7E" w:rsidP="00AB0D7E">
      <w:pPr>
        <w:numPr>
          <w:ilvl w:val="0"/>
          <w:numId w:val="6"/>
        </w:numPr>
        <w:spacing w:after="172"/>
        <w:ind w:right="0"/>
      </w:pPr>
      <w:r w:rsidRPr="008E32E8">
        <w:t xml:space="preserve">Sitan inventar i </w:t>
      </w:r>
      <w:proofErr w:type="spellStart"/>
      <w:r w:rsidRPr="008E32E8">
        <w:t>autogume</w:t>
      </w:r>
      <w:proofErr w:type="spellEnd"/>
      <w:r w:rsidRPr="008E32E8">
        <w:t xml:space="preserve"> povećava se za iznos od  1.150,00 eura</w:t>
      </w:r>
      <w:r w:rsidRPr="008E32E8">
        <w:rPr>
          <w:rFonts w:ascii="Calibri" w:eastAsia="Calibri" w:hAnsi="Calibri" w:cs="Calibri"/>
        </w:rPr>
        <w:t xml:space="preserve"> </w:t>
      </w:r>
    </w:p>
    <w:p w14:paraId="031D2026" w14:textId="142DD61E" w:rsidR="00AB0D7E" w:rsidRPr="008E32E8" w:rsidRDefault="00AB0D7E" w:rsidP="00AB0D7E">
      <w:pPr>
        <w:numPr>
          <w:ilvl w:val="0"/>
          <w:numId w:val="6"/>
        </w:numPr>
        <w:ind w:right="0"/>
      </w:pPr>
      <w:r w:rsidRPr="008E32E8">
        <w:t xml:space="preserve">Ostale nespomenute usluge povećava se za iznos od 10.000,00 eura, uslijed povećanih potreba za raznim usluga koje su neophodne za funkcioniranje općine </w:t>
      </w:r>
      <w:r w:rsidRPr="008E32E8">
        <w:rPr>
          <w:rFonts w:ascii="Calibri" w:eastAsia="Calibri" w:hAnsi="Calibri" w:cs="Calibri"/>
        </w:rPr>
        <w:t xml:space="preserve"> </w:t>
      </w:r>
    </w:p>
    <w:p w14:paraId="0F66FC4B" w14:textId="33709775" w:rsidR="00AB0D7E" w:rsidRPr="008E32E8" w:rsidRDefault="00AB0D7E" w:rsidP="00AB0D7E">
      <w:pPr>
        <w:numPr>
          <w:ilvl w:val="0"/>
          <w:numId w:val="6"/>
        </w:numPr>
        <w:ind w:left="5" w:right="0"/>
        <w:rPr>
          <w:color w:val="auto"/>
        </w:rPr>
      </w:pPr>
      <w:r w:rsidRPr="008E32E8">
        <w:rPr>
          <w:color w:val="auto"/>
        </w:rPr>
        <w:t xml:space="preserve">Ostali nespomenuti rashodi poslovanja povećava se za iznos od 20.000,00 eura zbog </w:t>
      </w:r>
      <w:proofErr w:type="spellStart"/>
      <w:r w:rsidRPr="008E32E8">
        <w:rPr>
          <w:color w:val="auto"/>
        </w:rPr>
        <w:t>isknjiženja</w:t>
      </w:r>
      <w:proofErr w:type="spellEnd"/>
      <w:r w:rsidRPr="008E32E8">
        <w:rPr>
          <w:color w:val="auto"/>
        </w:rPr>
        <w:t xml:space="preserve"> potraživanja</w:t>
      </w:r>
    </w:p>
    <w:p w14:paraId="7CE97C59" w14:textId="3728024F" w:rsidR="00AB0D7E" w:rsidRPr="008E32E8" w:rsidRDefault="00AB0D7E" w:rsidP="00AB0D7E">
      <w:pPr>
        <w:numPr>
          <w:ilvl w:val="0"/>
          <w:numId w:val="6"/>
        </w:numPr>
        <w:ind w:left="5" w:right="0"/>
      </w:pPr>
      <w:r w:rsidRPr="008E32E8">
        <w:t>Premije osiguranja povećava se za iznos od 3.000,00 eura zbog uključivanja  i djelatnica zaposlenih preko projekta „Zajedno u zlatnim godinama“  u provođenje obvezatnih sistematskih pregleda</w:t>
      </w:r>
    </w:p>
    <w:p w14:paraId="515575F8" w14:textId="77777777" w:rsidR="00AB0D7E" w:rsidRPr="008E32E8" w:rsidRDefault="00AB0D7E" w:rsidP="00AB0D7E">
      <w:pPr>
        <w:ind w:left="5" w:right="0" w:firstLine="0"/>
      </w:pPr>
      <w:r w:rsidRPr="008E32E8">
        <w:t>Aktivnosti A102303 – Financijski rashodi povećava se za iznos od 1.000,00 eura zbog povećanja cijena bankarskih usluga.</w:t>
      </w:r>
    </w:p>
    <w:p w14:paraId="569B9EA2" w14:textId="77777777" w:rsidR="00AB0D7E" w:rsidRPr="008E32E8" w:rsidRDefault="00AB0D7E" w:rsidP="00AB0D7E">
      <w:pPr>
        <w:ind w:left="5" w:right="0" w:firstLine="0"/>
      </w:pPr>
      <w:r w:rsidRPr="008E32E8">
        <w:t>Aktivnosti A102305 – Naknada poreznoj upravi povećava se za iznos od 500,00 eura na ime otvaranja nove pozicije Pristojbe i naknade.</w:t>
      </w:r>
    </w:p>
    <w:p w14:paraId="2B218A24" w14:textId="0CD7B8CE" w:rsidR="00AB0D7E" w:rsidRPr="008E32E8" w:rsidRDefault="00AB0D7E" w:rsidP="00AB0D7E">
      <w:pPr>
        <w:ind w:left="5" w:right="0"/>
      </w:pPr>
      <w:r w:rsidRPr="008E32E8">
        <w:rPr>
          <w:b/>
        </w:rPr>
        <w:t>PROGRAM - Upravljanje imovinom</w:t>
      </w:r>
      <w:r w:rsidRPr="008E32E8">
        <w:t xml:space="preserve"> smanjuje se </w:t>
      </w:r>
      <w:r w:rsidR="007F02D6">
        <w:t>za</w:t>
      </w:r>
      <w:r w:rsidRPr="008E32E8">
        <w:t xml:space="preserve"> </w:t>
      </w:r>
      <w:r w:rsidR="007F02D6">
        <w:t>97</w:t>
      </w:r>
      <w:r w:rsidRPr="008E32E8">
        <w:t xml:space="preserve">.000,00 eura.  </w:t>
      </w:r>
      <w:r w:rsidRPr="008E32E8">
        <w:rPr>
          <w:rFonts w:ascii="Calibri" w:eastAsia="Calibri" w:hAnsi="Calibri" w:cs="Calibri"/>
        </w:rPr>
        <w:t xml:space="preserve"> </w:t>
      </w:r>
    </w:p>
    <w:p w14:paraId="40BD4006" w14:textId="77777777" w:rsidR="00AB0D7E" w:rsidRPr="008E32E8" w:rsidRDefault="00AB0D7E" w:rsidP="00AB0D7E">
      <w:pPr>
        <w:ind w:left="5" w:right="0"/>
      </w:pPr>
      <w:r w:rsidRPr="008E32E8">
        <w:t>Aktivnost A100301 Održavanje zgrada povećava se za iznos od 44.500,00 eura zbog planiranog pojačanog održavanja objekata u vlasništvu Općine Jelenje</w:t>
      </w:r>
    </w:p>
    <w:p w14:paraId="374E01D1" w14:textId="77777777" w:rsidR="00AB0D7E" w:rsidRPr="008E32E8" w:rsidRDefault="00AB0D7E" w:rsidP="00AB0D7E">
      <w:pPr>
        <w:ind w:left="5" w:right="0"/>
      </w:pPr>
      <w:r w:rsidRPr="008E32E8">
        <w:rPr>
          <w:b/>
          <w:bCs/>
        </w:rPr>
        <w:lastRenderedPageBreak/>
        <w:t xml:space="preserve">Kapitalni projekt K100301 Građenje i dodatna ulaganja na zgradama </w:t>
      </w:r>
      <w:r w:rsidRPr="008E32E8">
        <w:t>povećava se za iznos od</w:t>
      </w:r>
      <w:r w:rsidRPr="008E32E8">
        <w:rPr>
          <w:b/>
          <w:bCs/>
        </w:rPr>
        <w:t xml:space="preserve"> </w:t>
      </w:r>
      <w:r w:rsidRPr="008E32E8">
        <w:t>20.000,00 eura zbog planiranih dodatnih ulaganja u zgrade (uređenje prostorija u zgradi općine vezanih uz katastarsku izmjeru)</w:t>
      </w:r>
    </w:p>
    <w:p w14:paraId="46A88E62" w14:textId="32A85DC4" w:rsidR="00AB0D7E" w:rsidRPr="008E32E8" w:rsidRDefault="00AB0D7E" w:rsidP="00AB0D7E">
      <w:pPr>
        <w:ind w:left="5" w:right="0"/>
      </w:pPr>
      <w:r w:rsidRPr="008E32E8">
        <w:t xml:space="preserve">Unutar </w:t>
      </w:r>
      <w:r w:rsidRPr="008E32E8">
        <w:rPr>
          <w:b/>
        </w:rPr>
        <w:t>Kapitalnog projekta K100302 - Nabava pokretne dugotrajne imovine</w:t>
      </w:r>
      <w:r w:rsidRPr="008E32E8">
        <w:t xml:space="preserve"> dolazi do smanjenja za iznos od</w:t>
      </w:r>
      <w:r w:rsidR="007F02D6">
        <w:t xml:space="preserve"> 48</w:t>
      </w:r>
      <w:r w:rsidRPr="008E32E8">
        <w:t>.000,00 eura</w:t>
      </w:r>
      <w:r w:rsidR="007F02D6">
        <w:t xml:space="preserve"> iz razloga što se dio planiranog ulaganja u računalne programe uspjelo realizirati do konca prethodne godine te bi za potrebe e-sustava poslovnih informacija bilo dovoljno planirati iznos od 100.000,00 eura (dio će biti sufinanciran od strane Fonda za zaštitu okoliša i energetske učinkovitosti). Također </w:t>
      </w:r>
      <w:r w:rsidRPr="008E32E8">
        <w:t xml:space="preserve">u planu je nabava </w:t>
      </w:r>
      <w:r w:rsidR="001F7D5F">
        <w:t>dodatne opreme</w:t>
      </w:r>
      <w:r w:rsidRPr="008E32E8">
        <w:t xml:space="preserve">  za potrebe </w:t>
      </w:r>
      <w:r w:rsidR="001F7D5F">
        <w:t xml:space="preserve">rada </w:t>
      </w:r>
      <w:r w:rsidRPr="008E32E8">
        <w:t xml:space="preserve">djelatnika </w:t>
      </w:r>
      <w:r w:rsidR="001F7D5F">
        <w:t xml:space="preserve">u iznosu </w:t>
      </w:r>
      <w:r w:rsidRPr="008E32E8">
        <w:t>od 2.000,00 eura.</w:t>
      </w:r>
    </w:p>
    <w:p w14:paraId="4B6B2F2D" w14:textId="77777777" w:rsidR="00AB0D7E" w:rsidRPr="008E32E8" w:rsidRDefault="00AB0D7E" w:rsidP="00AB0D7E">
      <w:pPr>
        <w:ind w:left="5" w:right="0"/>
        <w:rPr>
          <w:color w:val="auto"/>
        </w:rPr>
      </w:pPr>
      <w:r w:rsidRPr="008E32E8">
        <w:rPr>
          <w:b/>
          <w:color w:val="auto"/>
        </w:rPr>
        <w:t>Kapitalni projekt K100304 – Katastarska izmjera</w:t>
      </w:r>
      <w:r w:rsidRPr="008E32E8">
        <w:rPr>
          <w:color w:val="auto"/>
        </w:rPr>
        <w:t xml:space="preserve"> – povećava se za  5.000,00 eura zbog izrade projekta uređenja i opremanja uredskog prostora za potrebe ureda katastarske izmjere i izlaganja podataka.</w:t>
      </w:r>
    </w:p>
    <w:p w14:paraId="69FDA890" w14:textId="77777777" w:rsidR="00AB0D7E" w:rsidRPr="008E32E8" w:rsidRDefault="00AB0D7E" w:rsidP="00AB0D7E">
      <w:pPr>
        <w:ind w:left="5" w:right="0"/>
        <w:rPr>
          <w:color w:val="auto"/>
        </w:rPr>
      </w:pPr>
      <w:r w:rsidRPr="008E32E8">
        <w:rPr>
          <w:b/>
          <w:color w:val="auto"/>
        </w:rPr>
        <w:t>Kapitalni projekt K100314 – Proširenje zgrade vrtića</w:t>
      </w:r>
      <w:r w:rsidRPr="008E32E8">
        <w:rPr>
          <w:color w:val="auto"/>
        </w:rPr>
        <w:t xml:space="preserve"> – smanjuje se za iznos od 38.500,00 eura zbog završetka samog projekta. </w:t>
      </w:r>
    </w:p>
    <w:p w14:paraId="433886A3" w14:textId="6C1D42E2" w:rsidR="00AB0D7E" w:rsidRPr="008E32E8" w:rsidRDefault="00AB0D7E" w:rsidP="00AB0D7E">
      <w:pPr>
        <w:ind w:left="5" w:right="0"/>
      </w:pPr>
      <w:r w:rsidRPr="008E32E8">
        <w:rPr>
          <w:b/>
        </w:rPr>
        <w:t xml:space="preserve">Kapitalni projekt K100324 – Rekonstrukcija i prenamjena objekta stare škole u </w:t>
      </w:r>
      <w:proofErr w:type="spellStart"/>
      <w:r w:rsidRPr="008E32E8">
        <w:rPr>
          <w:b/>
        </w:rPr>
        <w:t>Trnovici</w:t>
      </w:r>
      <w:proofErr w:type="spellEnd"/>
      <w:r w:rsidRPr="008E32E8">
        <w:rPr>
          <w:b/>
        </w:rPr>
        <w:t xml:space="preserve"> u stambeni objekt </w:t>
      </w:r>
      <w:r w:rsidRPr="008E32E8">
        <w:rPr>
          <w:bCs/>
        </w:rPr>
        <w:t>smanjuje se za iznos od 53.000,00</w:t>
      </w:r>
      <w:r w:rsidRPr="008E32E8">
        <w:t xml:space="preserve"> eura. </w:t>
      </w:r>
      <w:r w:rsidR="007F02D6">
        <w:t>Kao što smo u izvornom planu naveli p</w:t>
      </w:r>
      <w:r w:rsidRPr="008E32E8">
        <w:t>lanira se rekonstrukcija i prenamjena zgrade stare škole u objekt sa dvije stambene jedinice za potrebe budućeg zbrinjavanja deficitarnih kadrova na području Općine Jelenje.</w:t>
      </w:r>
      <w:r w:rsidR="007F02D6">
        <w:t xml:space="preserve"> </w:t>
      </w:r>
      <w:r w:rsidR="001F7D5F">
        <w:t>Iako je u inicijalnom planu bila prijava na poziv Fonda za energetsku obnovu javnih zgrada, uslijed izmijenjenih uvjeta poziva, prijava nije bila moguća, a nastavlja se sa traženjem vanjskih izvora financiranja.</w:t>
      </w:r>
    </w:p>
    <w:p w14:paraId="6A91EB63" w14:textId="777B76DE" w:rsidR="00AB0D7E" w:rsidRPr="008E32E8" w:rsidRDefault="00AB0D7E" w:rsidP="00AB0D7E">
      <w:pPr>
        <w:ind w:left="5" w:right="0"/>
        <w:rPr>
          <w:bCs/>
        </w:rPr>
      </w:pPr>
      <w:r w:rsidRPr="008E32E8">
        <w:rPr>
          <w:b/>
        </w:rPr>
        <w:t xml:space="preserve">Kapitalni projekt K100328 – Uređenje objekta – Planinarski dom </w:t>
      </w:r>
      <w:proofErr w:type="spellStart"/>
      <w:r w:rsidRPr="008E32E8">
        <w:rPr>
          <w:b/>
        </w:rPr>
        <w:t>Hahlić</w:t>
      </w:r>
      <w:proofErr w:type="spellEnd"/>
      <w:r w:rsidRPr="008E32E8">
        <w:rPr>
          <w:b/>
        </w:rPr>
        <w:t xml:space="preserve"> – </w:t>
      </w:r>
      <w:r w:rsidRPr="008E32E8">
        <w:rPr>
          <w:bCs/>
        </w:rPr>
        <w:t>povećava se za iznos od 2.000,00 eura na ime usluge nabavke opreme za uređenje prostora</w:t>
      </w:r>
      <w:r w:rsidR="001F7D5F">
        <w:rPr>
          <w:bCs/>
        </w:rPr>
        <w:t xml:space="preserve"> koji ove godine obilježava svojih 100 godina postojanja.</w:t>
      </w:r>
    </w:p>
    <w:p w14:paraId="7B001C70" w14:textId="317D581A" w:rsidR="00AB0D7E" w:rsidRPr="008E32E8" w:rsidRDefault="00AB0D7E" w:rsidP="00AB0D7E">
      <w:pPr>
        <w:ind w:left="5" w:right="0"/>
      </w:pPr>
      <w:r w:rsidRPr="008E32E8">
        <w:rPr>
          <w:b/>
        </w:rPr>
        <w:t xml:space="preserve">Kapitalni projekt K100325 – Uređenje objekta DV Grobnički </w:t>
      </w:r>
      <w:proofErr w:type="spellStart"/>
      <w:r w:rsidRPr="008E32E8">
        <w:rPr>
          <w:b/>
        </w:rPr>
        <w:t>tići</w:t>
      </w:r>
      <w:proofErr w:type="spellEnd"/>
      <w:r w:rsidRPr="008E32E8">
        <w:rPr>
          <w:b/>
        </w:rPr>
        <w:t xml:space="preserve"> – </w:t>
      </w:r>
      <w:r w:rsidRPr="008E32E8">
        <w:rPr>
          <w:bCs/>
        </w:rPr>
        <w:t>smanjuje se za iznos od</w:t>
      </w:r>
      <w:r w:rsidRPr="008E32E8">
        <w:rPr>
          <w:b/>
        </w:rPr>
        <w:t xml:space="preserve"> </w:t>
      </w:r>
      <w:r w:rsidRPr="008E32E8">
        <w:rPr>
          <w:bCs/>
        </w:rPr>
        <w:t>29.000,00 eura</w:t>
      </w:r>
      <w:r w:rsidRPr="008E32E8">
        <w:rPr>
          <w:b/>
        </w:rPr>
        <w:t xml:space="preserve">. </w:t>
      </w:r>
      <w:r w:rsidRPr="008E32E8">
        <w:rPr>
          <w:bCs/>
        </w:rPr>
        <w:t xml:space="preserve">Sredstva planirana za dodatna ulaganja se smanjuju za iznos od 50.000,00 eura zbog završetka radova, dok se na poziciji Uređaji, strojevi i oprema za ostale namjene planiraju dodatna sredstva u iznosu od 18.000,00 eura zbog nabavke dodatne opreme </w:t>
      </w:r>
      <w:r w:rsidR="00C80911">
        <w:rPr>
          <w:bCs/>
        </w:rPr>
        <w:t>neophodne</w:t>
      </w:r>
      <w:r w:rsidRPr="008E32E8">
        <w:rPr>
          <w:bCs/>
        </w:rPr>
        <w:t xml:space="preserve"> za funkcioniranje vrtića. </w:t>
      </w:r>
    </w:p>
    <w:p w14:paraId="4E4FEEF8" w14:textId="77035145" w:rsidR="00AB0D7E" w:rsidRPr="008E32E8" w:rsidRDefault="00AB0D7E" w:rsidP="00AB0D7E">
      <w:pPr>
        <w:spacing w:line="271" w:lineRule="auto"/>
        <w:ind w:left="5" w:right="0" w:hanging="11"/>
        <w:rPr>
          <w:color w:val="auto"/>
        </w:rPr>
      </w:pPr>
      <w:r w:rsidRPr="008E32E8">
        <w:rPr>
          <w:color w:val="auto"/>
        </w:rPr>
        <w:t>Unutar</w:t>
      </w:r>
      <w:r w:rsidRPr="008E32E8">
        <w:rPr>
          <w:b/>
          <w:color w:val="auto"/>
        </w:rPr>
        <w:t xml:space="preserve"> PROGRAMA – Prostorno uređenje i unapređenje stanovanja </w:t>
      </w:r>
      <w:r w:rsidRPr="008E32E8">
        <w:rPr>
          <w:color w:val="auto"/>
        </w:rPr>
        <w:t xml:space="preserve">dolazi do povećanja u iznosu od 32.000,00 eura zbog </w:t>
      </w:r>
      <w:r w:rsidR="001F7D5F">
        <w:rPr>
          <w:color w:val="auto"/>
        </w:rPr>
        <w:t>najave mogućnosti financiranja izrade urbanističkih planova od strane nadležnog ministarstva</w:t>
      </w:r>
      <w:r w:rsidRPr="008E32E8">
        <w:rPr>
          <w:color w:val="auto"/>
        </w:rPr>
        <w:t>.</w:t>
      </w:r>
    </w:p>
    <w:p w14:paraId="3076846B" w14:textId="20B6B7AA" w:rsidR="00480511" w:rsidRPr="00480511" w:rsidRDefault="00AB0D7E" w:rsidP="00480511">
      <w:pPr>
        <w:spacing w:after="240"/>
        <w:rPr>
          <w:color w:val="auto"/>
        </w:rPr>
      </w:pPr>
      <w:r w:rsidRPr="008E32E8">
        <w:rPr>
          <w:color w:val="auto"/>
          <w:szCs w:val="22"/>
        </w:rPr>
        <w:t xml:space="preserve">Unutar </w:t>
      </w:r>
      <w:r w:rsidRPr="008E32E8">
        <w:rPr>
          <w:b/>
          <w:color w:val="auto"/>
          <w:szCs w:val="22"/>
        </w:rPr>
        <w:t>PROGRAMA – Gradnja komunalne infrastrukture</w:t>
      </w:r>
      <w:r w:rsidRPr="008E32E8">
        <w:rPr>
          <w:color w:val="auto"/>
          <w:szCs w:val="22"/>
        </w:rPr>
        <w:t xml:space="preserve"> dolazi do povećanja i to za iznos od 1</w:t>
      </w:r>
      <w:r w:rsidR="00C80911">
        <w:rPr>
          <w:color w:val="auto"/>
          <w:szCs w:val="22"/>
        </w:rPr>
        <w:t>3</w:t>
      </w:r>
      <w:r w:rsidRPr="008E32E8">
        <w:rPr>
          <w:color w:val="auto"/>
          <w:szCs w:val="22"/>
        </w:rPr>
        <w:t xml:space="preserve">2.000,00 eura. Otvoren je novi kapitalni projekt </w:t>
      </w:r>
      <w:r w:rsidR="009715E7">
        <w:rPr>
          <w:color w:val="auto"/>
          <w:szCs w:val="22"/>
        </w:rPr>
        <w:t xml:space="preserve">u iznosu od 90.000,00 eura </w:t>
      </w:r>
      <w:r w:rsidRPr="008E32E8">
        <w:rPr>
          <w:color w:val="auto"/>
          <w:szCs w:val="22"/>
        </w:rPr>
        <w:t>K100928 – Rekonstrukcija nerazvrstane ceste NC0134 Podhum –  u dužini od 777,89 m</w:t>
      </w:r>
      <w:r w:rsidR="001F7D5F">
        <w:rPr>
          <w:color w:val="auto"/>
          <w:szCs w:val="22"/>
        </w:rPr>
        <w:t xml:space="preserve">. </w:t>
      </w:r>
      <w:r w:rsidR="00C80911">
        <w:rPr>
          <w:szCs w:val="22"/>
        </w:rPr>
        <w:t>Kod</w:t>
      </w:r>
      <w:r w:rsidRPr="008E32E8">
        <w:rPr>
          <w:szCs w:val="22"/>
        </w:rPr>
        <w:t xml:space="preserve"> Kapitalnog projekta K100935 – Uređenje </w:t>
      </w:r>
      <w:proofErr w:type="spellStart"/>
      <w:r w:rsidRPr="008E32E8">
        <w:rPr>
          <w:szCs w:val="22"/>
        </w:rPr>
        <w:t>Kalića</w:t>
      </w:r>
      <w:proofErr w:type="spellEnd"/>
      <w:r w:rsidRPr="008E32E8">
        <w:rPr>
          <w:szCs w:val="22"/>
        </w:rPr>
        <w:t xml:space="preserve"> i opremanje planinarsko – turističkih staza </w:t>
      </w:r>
      <w:r w:rsidR="00C80911">
        <w:rPr>
          <w:szCs w:val="22"/>
        </w:rPr>
        <w:t xml:space="preserve">dolazi do povećanja od 6.000,00 eura </w:t>
      </w:r>
      <w:r w:rsidRPr="008E32E8">
        <w:rPr>
          <w:szCs w:val="22"/>
        </w:rPr>
        <w:t xml:space="preserve">zbog prijave samog projekta na Program podrške brdsko – planinskim područjima.  </w:t>
      </w:r>
      <w:r w:rsidRPr="008E32E8">
        <w:rPr>
          <w:color w:val="auto"/>
        </w:rPr>
        <w:t xml:space="preserve">Unutar Kapitalnog projekta K100936 – Ostala dodatna ulaganja u javne površine sredstva se povećavaju za </w:t>
      </w:r>
      <w:r w:rsidR="009715E7">
        <w:rPr>
          <w:color w:val="auto"/>
        </w:rPr>
        <w:t>3</w:t>
      </w:r>
      <w:r w:rsidRPr="008E32E8">
        <w:rPr>
          <w:color w:val="auto"/>
        </w:rPr>
        <w:t xml:space="preserve">.000,00 eura zbog uređenje stepeništa kod pekare </w:t>
      </w:r>
      <w:proofErr w:type="spellStart"/>
      <w:r w:rsidRPr="008E32E8">
        <w:rPr>
          <w:color w:val="auto"/>
        </w:rPr>
        <w:t>Lišćevica</w:t>
      </w:r>
      <w:proofErr w:type="spellEnd"/>
      <w:r w:rsidRPr="008E32E8">
        <w:rPr>
          <w:color w:val="auto"/>
        </w:rPr>
        <w:t xml:space="preserve"> za koji je potrebn</w:t>
      </w:r>
      <w:r w:rsidR="00C80911">
        <w:rPr>
          <w:color w:val="auto"/>
        </w:rPr>
        <w:t>o izraditi</w:t>
      </w:r>
      <w:r w:rsidRPr="008E32E8">
        <w:rPr>
          <w:color w:val="auto"/>
        </w:rPr>
        <w:t xml:space="preserve">  projektn</w:t>
      </w:r>
      <w:r w:rsidR="00C80911">
        <w:rPr>
          <w:color w:val="auto"/>
        </w:rPr>
        <w:t xml:space="preserve">u </w:t>
      </w:r>
      <w:r w:rsidRPr="008E32E8">
        <w:rPr>
          <w:color w:val="auto"/>
        </w:rPr>
        <w:t>dokumentacij</w:t>
      </w:r>
      <w:r w:rsidR="001F7D5F">
        <w:rPr>
          <w:color w:val="auto"/>
        </w:rPr>
        <w:t>u</w:t>
      </w:r>
      <w:r w:rsidRPr="008E32E8">
        <w:rPr>
          <w:color w:val="auto"/>
        </w:rPr>
        <w:t xml:space="preserve">. </w:t>
      </w:r>
      <w:r w:rsidR="00DB6521">
        <w:rPr>
          <w:color w:val="auto"/>
        </w:rPr>
        <w:t xml:space="preserve">Kod kapitalnog projekta Izgradnja vodovodne mreže dolazi do povećanja od 30.000,00 </w:t>
      </w:r>
      <w:r w:rsidR="000068C2">
        <w:rPr>
          <w:color w:val="auto"/>
        </w:rPr>
        <w:t xml:space="preserve">gdje </w:t>
      </w:r>
      <w:r w:rsidR="00480511">
        <w:rPr>
          <w:color w:val="auto"/>
        </w:rPr>
        <w:t xml:space="preserve">bi Općina ukupnim učešćem od 80.000,00 eura participirala u </w:t>
      </w:r>
      <w:r w:rsidR="001F7D5F">
        <w:rPr>
          <w:color w:val="auto"/>
        </w:rPr>
        <w:t>su</w:t>
      </w:r>
      <w:r w:rsidR="00480511">
        <w:rPr>
          <w:color w:val="auto"/>
        </w:rPr>
        <w:t xml:space="preserve">financiranju </w:t>
      </w:r>
      <w:r w:rsidR="001F7D5F">
        <w:rPr>
          <w:color w:val="auto"/>
        </w:rPr>
        <w:t xml:space="preserve">dodatnog asfaltiranja prometnica koje prate projekt Aglomeracije </w:t>
      </w:r>
      <w:r w:rsidR="00480511">
        <w:rPr>
          <w:color w:val="auto"/>
        </w:rPr>
        <w:t>Komunalnog društva Vodovod i kanalizacija d.o.o.</w:t>
      </w:r>
      <w:r w:rsidR="00DB6521">
        <w:rPr>
          <w:color w:val="auto"/>
        </w:rPr>
        <w:t xml:space="preserve"> </w:t>
      </w:r>
      <w:r w:rsidR="00480511" w:rsidRPr="00480511">
        <w:rPr>
          <w:color w:val="auto"/>
        </w:rPr>
        <w:t xml:space="preserve">Projekt izgradnje prve javne kanalizacije na području općine Jelenje ključni je dio EU projekta </w:t>
      </w:r>
      <w:r w:rsidR="00480511" w:rsidRPr="00480511">
        <w:rPr>
          <w:b/>
          <w:bCs/>
          <w:color w:val="auto"/>
        </w:rPr>
        <w:t>Aglomeracija Rijeka</w:t>
      </w:r>
      <w:r w:rsidR="000068C2">
        <w:rPr>
          <w:color w:val="auto"/>
        </w:rPr>
        <w:t xml:space="preserve">. </w:t>
      </w:r>
      <w:r w:rsidR="00480511" w:rsidRPr="00480511">
        <w:rPr>
          <w:color w:val="auto"/>
        </w:rPr>
        <w:t>Radovi vrijedni više od 31 milijun eura obuhvaćaju izgradnju 32,5 km gravitacijskih kolektora i 3,5 km tlačnih vodova</w:t>
      </w:r>
      <w:r w:rsidR="000068C2">
        <w:rPr>
          <w:color w:val="auto"/>
        </w:rPr>
        <w:t xml:space="preserve">. </w:t>
      </w:r>
      <w:r w:rsidR="00480511">
        <w:rPr>
          <w:color w:val="auto"/>
        </w:rPr>
        <w:t xml:space="preserve">Od važnosti je </w:t>
      </w:r>
      <w:r w:rsidR="000068C2">
        <w:rPr>
          <w:color w:val="auto"/>
        </w:rPr>
        <w:t xml:space="preserve">dodatno </w:t>
      </w:r>
      <w:r w:rsidR="00480511">
        <w:rPr>
          <w:color w:val="auto"/>
        </w:rPr>
        <w:t>za napomenuti da se uz kanalizaciju paralelno vrši rekonstrukcija javnog vodovoda na</w:t>
      </w:r>
      <w:r w:rsidR="000068C2">
        <w:rPr>
          <w:color w:val="auto"/>
        </w:rPr>
        <w:t xml:space="preserve"> pojedinim dionicama, </w:t>
      </w:r>
      <w:r w:rsidR="000068C2" w:rsidRPr="000068C2">
        <w:rPr>
          <w:color w:val="auto"/>
        </w:rPr>
        <w:t>čime će se poboljšati kvaliteta života stanovnika i osigurati održivi razvoj.</w:t>
      </w:r>
      <w:r w:rsidR="000068C2">
        <w:rPr>
          <w:color w:val="auto"/>
        </w:rPr>
        <w:t xml:space="preserve"> </w:t>
      </w:r>
    </w:p>
    <w:p w14:paraId="6B8F8AB7" w14:textId="749FB8D0" w:rsidR="00AB0D7E" w:rsidRPr="008E32E8" w:rsidRDefault="00AB0D7E" w:rsidP="00AB0D7E">
      <w:pPr>
        <w:spacing w:after="240"/>
        <w:rPr>
          <w:szCs w:val="22"/>
        </w:rPr>
      </w:pPr>
      <w:r w:rsidRPr="008E32E8">
        <w:rPr>
          <w:color w:val="auto"/>
        </w:rPr>
        <w:lastRenderedPageBreak/>
        <w:t xml:space="preserve">Zbog izrade idejnog rješenja i glavnog projekta za most Jelenje dolazi do povećanja u iznosu od 9.000,00 eura unutar Kapitalnoj projekta K100944 – Uređenje šetnice uz Sušicu. Kapitalni projekt K100948 – Autobusna stanica </w:t>
      </w:r>
      <w:proofErr w:type="spellStart"/>
      <w:r w:rsidRPr="008E32E8">
        <w:rPr>
          <w:color w:val="auto"/>
        </w:rPr>
        <w:t>Lubarska</w:t>
      </w:r>
      <w:proofErr w:type="spellEnd"/>
      <w:r w:rsidRPr="008E32E8">
        <w:rPr>
          <w:color w:val="auto"/>
        </w:rPr>
        <w:t xml:space="preserve"> povećava se za 3.000,00 eura na ime geodetskih usluga. Tijekom 2026. godine neće se realizirati</w:t>
      </w:r>
      <w:r w:rsidR="000068C2">
        <w:rPr>
          <w:color w:val="auto"/>
        </w:rPr>
        <w:t xml:space="preserve"> planirana</w:t>
      </w:r>
      <w:r w:rsidRPr="008E32E8">
        <w:rPr>
          <w:color w:val="auto"/>
        </w:rPr>
        <w:t xml:space="preserve"> izgradnja dječjeg igrališta u </w:t>
      </w:r>
      <w:proofErr w:type="spellStart"/>
      <w:r w:rsidRPr="008E32E8">
        <w:rPr>
          <w:color w:val="auto"/>
        </w:rPr>
        <w:t>Pulipoju</w:t>
      </w:r>
      <w:proofErr w:type="spellEnd"/>
      <w:r w:rsidRPr="008E32E8">
        <w:rPr>
          <w:color w:val="auto"/>
        </w:rPr>
        <w:t xml:space="preserve">, </w:t>
      </w:r>
      <w:r w:rsidR="000068C2">
        <w:rPr>
          <w:color w:val="auto"/>
        </w:rPr>
        <w:t>stoga s</w:t>
      </w:r>
      <w:r w:rsidRPr="008E32E8">
        <w:rPr>
          <w:color w:val="auto"/>
        </w:rPr>
        <w:t xml:space="preserve">e </w:t>
      </w:r>
      <w:r w:rsidR="000068C2" w:rsidRPr="008E32E8">
        <w:rPr>
          <w:color w:val="auto"/>
        </w:rPr>
        <w:t xml:space="preserve">Kapitalni projekt K100949 – Izgradnja dječjeg igrališta </w:t>
      </w:r>
      <w:proofErr w:type="spellStart"/>
      <w:r w:rsidR="000068C2" w:rsidRPr="008E32E8">
        <w:rPr>
          <w:color w:val="auto"/>
        </w:rPr>
        <w:t>Pulipoje</w:t>
      </w:r>
      <w:proofErr w:type="spellEnd"/>
      <w:r w:rsidR="000068C2">
        <w:rPr>
          <w:color w:val="auto"/>
        </w:rPr>
        <w:t xml:space="preserve"> </w:t>
      </w:r>
      <w:r w:rsidRPr="008E32E8">
        <w:rPr>
          <w:color w:val="auto"/>
        </w:rPr>
        <w:t>s</w:t>
      </w:r>
      <w:r w:rsidR="000068C2">
        <w:rPr>
          <w:color w:val="auto"/>
        </w:rPr>
        <w:t>manjuje</w:t>
      </w:r>
      <w:r w:rsidRPr="008E32E8">
        <w:rPr>
          <w:color w:val="auto"/>
        </w:rPr>
        <w:t xml:space="preserve"> za iznos od 7</w:t>
      </w:r>
      <w:r w:rsidR="009715E7">
        <w:rPr>
          <w:color w:val="auto"/>
        </w:rPr>
        <w:t>4</w:t>
      </w:r>
      <w:r w:rsidRPr="008E32E8">
        <w:rPr>
          <w:color w:val="auto"/>
        </w:rPr>
        <w:t>.000,00 eura</w:t>
      </w:r>
      <w:r w:rsidR="000068C2">
        <w:rPr>
          <w:color w:val="auto"/>
        </w:rPr>
        <w:t xml:space="preserve">. </w:t>
      </w:r>
      <w:r w:rsidRPr="008E32E8">
        <w:rPr>
          <w:color w:val="auto"/>
        </w:rPr>
        <w:t>Međutim u planu je rekonstrukcija Dječjeg igrališta u Dubini, te je otvoren novi Kapitalni projekt K100950 – Izgradnja dječjeg igrališta Dubina sa iznosom od 65.000,00 eura.</w:t>
      </w:r>
    </w:p>
    <w:p w14:paraId="7CC97A86" w14:textId="40EFDF7E" w:rsidR="00AB0D7E" w:rsidRPr="008E32E8" w:rsidRDefault="00AB0D7E" w:rsidP="005A577A">
      <w:pPr>
        <w:ind w:left="5" w:right="0"/>
      </w:pPr>
      <w:r w:rsidRPr="008E32E8">
        <w:t xml:space="preserve">Na ime planiranog povećanja opsega održavanja komunalne infrastrukture, </w:t>
      </w:r>
      <w:r w:rsidRPr="008E32E8">
        <w:rPr>
          <w:b/>
        </w:rPr>
        <w:t>PROGRAM</w:t>
      </w:r>
      <w:r w:rsidRPr="008E32E8">
        <w:t xml:space="preserve"> – </w:t>
      </w:r>
      <w:r w:rsidRPr="008E32E8">
        <w:rPr>
          <w:b/>
        </w:rPr>
        <w:t>Održavanje komunalne infrastrukture</w:t>
      </w:r>
      <w:r w:rsidRPr="008E32E8">
        <w:t xml:space="preserve"> se povećava za 24.000,00 eura i to </w:t>
      </w:r>
      <w:r w:rsidR="00883640">
        <w:t xml:space="preserve">Aktivnost </w:t>
      </w:r>
      <w:r w:rsidR="005A577A">
        <w:t xml:space="preserve">A101002 </w:t>
      </w:r>
      <w:r w:rsidR="00883640">
        <w:t xml:space="preserve">Održavanje </w:t>
      </w:r>
      <w:r w:rsidRPr="008E32E8">
        <w:t xml:space="preserve">sustava javne rasvjete za 5.000,00 eura, </w:t>
      </w:r>
      <w:r w:rsidR="00883640">
        <w:t xml:space="preserve"> Aktivnost</w:t>
      </w:r>
      <w:r w:rsidRPr="008E32E8">
        <w:t xml:space="preserve"> </w:t>
      </w:r>
      <w:r w:rsidR="005A577A">
        <w:t xml:space="preserve">A101006 </w:t>
      </w:r>
      <w:r w:rsidRPr="008E32E8">
        <w:t xml:space="preserve">Odvoz krupnog otpada za 6.000,00 eura, </w:t>
      </w:r>
      <w:r w:rsidR="00883640">
        <w:t>Aktivnost</w:t>
      </w:r>
      <w:r w:rsidRPr="008E32E8">
        <w:t xml:space="preserve"> </w:t>
      </w:r>
      <w:r w:rsidR="005A577A">
        <w:t xml:space="preserve">A101008 </w:t>
      </w:r>
      <w:r w:rsidRPr="008E32E8">
        <w:t xml:space="preserve">Održavanja groblja za 12.000,00 eura, </w:t>
      </w:r>
      <w:r w:rsidR="00883640">
        <w:t xml:space="preserve">te Aktivnost </w:t>
      </w:r>
      <w:r w:rsidR="005A577A">
        <w:t xml:space="preserve">A101014 </w:t>
      </w:r>
      <w:r w:rsidRPr="008E32E8">
        <w:t xml:space="preserve">Održavanje javnih površina za 1.000,00 eura. </w:t>
      </w:r>
    </w:p>
    <w:p w14:paraId="586E642F" w14:textId="57D0E575" w:rsidR="00AB0D7E" w:rsidRPr="008E32E8" w:rsidRDefault="00AB0D7E" w:rsidP="00AB0D7E">
      <w:pPr>
        <w:ind w:left="5" w:right="0"/>
      </w:pPr>
      <w:r w:rsidRPr="008E32E8">
        <w:rPr>
          <w:b/>
        </w:rPr>
        <w:t>PROGRAM – Predškolski odgoj</w:t>
      </w:r>
      <w:r w:rsidRPr="008E32E8">
        <w:t xml:space="preserve"> – u planu je otvorena nova aktivnost  Osnivanje predškolske ustanove  </w:t>
      </w:r>
      <w:r w:rsidR="00883640">
        <w:t>u iznosu</w:t>
      </w:r>
      <w:r w:rsidRPr="008E32E8">
        <w:t xml:space="preserve"> od </w:t>
      </w:r>
      <w:r w:rsidR="00875BCF" w:rsidRPr="008E32E8">
        <w:t>9</w:t>
      </w:r>
      <w:r w:rsidRPr="008E32E8">
        <w:t xml:space="preserve">.000,00 eura.  </w:t>
      </w:r>
    </w:p>
    <w:p w14:paraId="1E064282" w14:textId="77777777" w:rsidR="00AB0D7E" w:rsidRPr="008E32E8" w:rsidRDefault="00AB0D7E" w:rsidP="00AB0D7E">
      <w:pPr>
        <w:ind w:left="5" w:right="0"/>
      </w:pPr>
      <w:r w:rsidRPr="008E32E8">
        <w:rPr>
          <w:b/>
        </w:rPr>
        <w:t>PROGRAM – Razvoj sporta i rekreacije</w:t>
      </w:r>
      <w:r w:rsidRPr="008E32E8">
        <w:t xml:space="preserve"> – dolazi do smanjenja u iznosu od 30.000,00 eura i to unutar kapitalnog projekta K101804 – Uređenje terena za košarku – „</w:t>
      </w:r>
      <w:proofErr w:type="spellStart"/>
      <w:r w:rsidRPr="008E32E8">
        <w:t>Haklanje</w:t>
      </w:r>
      <w:proofErr w:type="spellEnd"/>
      <w:r w:rsidRPr="008E32E8">
        <w:t xml:space="preserve"> na jedan koš“ budući da je projekat uspješno završen. </w:t>
      </w:r>
    </w:p>
    <w:p w14:paraId="71322A20" w14:textId="77777777" w:rsidR="00AB0D7E" w:rsidRPr="008E32E8" w:rsidRDefault="00AB0D7E" w:rsidP="00AB0D7E">
      <w:pPr>
        <w:ind w:left="5" w:right="0"/>
      </w:pPr>
      <w:r w:rsidRPr="008E32E8">
        <w:rPr>
          <w:b/>
        </w:rPr>
        <w:t xml:space="preserve">PROGRAM </w:t>
      </w:r>
      <w:r w:rsidRPr="008E32E8">
        <w:t xml:space="preserve">– </w:t>
      </w:r>
      <w:r w:rsidRPr="008E32E8">
        <w:rPr>
          <w:b/>
        </w:rPr>
        <w:t xml:space="preserve">Školstvo </w:t>
      </w:r>
      <w:r w:rsidRPr="008E32E8">
        <w:t>- se povećava za iznos od 2.000,00 eura kod Aktivnosti A102407 Nabavka radnih bilježnica i školskih potrepština zbog planiranog većeg sufinanciranja same aktivnosti.</w:t>
      </w:r>
    </w:p>
    <w:p w14:paraId="1D952C4C" w14:textId="77777777" w:rsidR="007F7592" w:rsidRPr="008E32E8" w:rsidRDefault="00AB0D7E" w:rsidP="00AB0D7E">
      <w:pPr>
        <w:ind w:left="5" w:right="0"/>
        <w:rPr>
          <w:color w:val="auto"/>
        </w:rPr>
      </w:pPr>
      <w:r w:rsidRPr="008E32E8">
        <w:rPr>
          <w:b/>
          <w:bCs/>
          <w:color w:val="auto"/>
        </w:rPr>
        <w:t>PROGRAM – Sufinanciranje komunalnih društava</w:t>
      </w:r>
      <w:r w:rsidRPr="008E32E8">
        <w:rPr>
          <w:color w:val="auto"/>
        </w:rPr>
        <w:t xml:space="preserve"> – smanjuje se za iznos od 10.850,00 eura  </w:t>
      </w:r>
      <w:r w:rsidR="007F7592" w:rsidRPr="008E32E8">
        <w:rPr>
          <w:color w:val="auto"/>
        </w:rPr>
        <w:t xml:space="preserve">ponajviše zbog očekivane manje naplate namjenskih razvojnih sredstava </w:t>
      </w:r>
    </w:p>
    <w:p w14:paraId="4FC94233" w14:textId="5AC0E139" w:rsidR="00AB0D7E" w:rsidRPr="008E32E8" w:rsidRDefault="00AB0D7E" w:rsidP="00AB0D7E">
      <w:pPr>
        <w:ind w:left="5" w:right="0"/>
        <w:rPr>
          <w:color w:val="auto"/>
        </w:rPr>
      </w:pPr>
      <w:r w:rsidRPr="008E32E8">
        <w:rPr>
          <w:b/>
          <w:color w:val="auto"/>
        </w:rPr>
        <w:t>PROGRAM – Strateški dokumenti Općine Jelenje</w:t>
      </w:r>
      <w:r w:rsidRPr="008E32E8">
        <w:rPr>
          <w:color w:val="auto"/>
        </w:rPr>
        <w:t xml:space="preserve"> – </w:t>
      </w:r>
      <w:r w:rsidR="007F7592" w:rsidRPr="008E32E8">
        <w:rPr>
          <w:color w:val="auto"/>
        </w:rPr>
        <w:t>unutar programa otvorena je nova pozicija Strategije sa iznosom od 6.000,00 eura dok je potreba za izradom plana rasvjete izostala.</w:t>
      </w:r>
    </w:p>
    <w:p w14:paraId="76FD7AD6" w14:textId="77777777" w:rsidR="00AB0D7E" w:rsidRDefault="00AB0D7E" w:rsidP="00AB0D7E">
      <w:pPr>
        <w:ind w:left="5" w:right="0"/>
      </w:pPr>
      <w:r w:rsidRPr="008E32E8">
        <w:t>Ostali nenavedeni vrijednosno promijenjeni rashodi i izdaci proračuna ne utječu značajno na visinu proračuna.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4886D0FB" w14:textId="3FE78E4C" w:rsidR="00476EB7" w:rsidRDefault="00AB0D7E" w:rsidP="00F41C7A">
      <w:pPr>
        <w:spacing w:after="149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sectPr w:rsidR="00476EB7">
      <w:footerReference w:type="even" r:id="rId9"/>
      <w:footerReference w:type="default" r:id="rId10"/>
      <w:footerReference w:type="first" r:id="rId11"/>
      <w:pgSz w:w="11906" w:h="16838"/>
      <w:pgMar w:top="1142" w:right="1123" w:bottom="1351" w:left="1118" w:header="72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AF31" w14:textId="77777777" w:rsidR="00FD4934" w:rsidRDefault="00FD4934">
      <w:pPr>
        <w:spacing w:after="0" w:line="240" w:lineRule="auto"/>
      </w:pPr>
      <w:r>
        <w:separator/>
      </w:r>
    </w:p>
  </w:endnote>
  <w:endnote w:type="continuationSeparator" w:id="0">
    <w:p w14:paraId="32D2D762" w14:textId="77777777" w:rsidR="00FD4934" w:rsidRDefault="00FD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DF8E" w14:textId="77777777" w:rsidR="00476EB7" w:rsidRDefault="00000000">
    <w:pPr>
      <w:spacing w:after="0" w:line="259" w:lineRule="auto"/>
      <w:ind w:left="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Calibri" w:eastAsia="Calibri" w:hAnsi="Calibri" w:cs="Calibri"/>
      </w:rPr>
      <w:t xml:space="preserve"> </w:t>
    </w:r>
  </w:p>
  <w:p w14:paraId="2B043AE8" w14:textId="77777777" w:rsidR="00476EB7" w:rsidRDefault="00000000">
    <w:pPr>
      <w:spacing w:after="0" w:line="259" w:lineRule="auto"/>
      <w:ind w:left="14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687" w14:textId="77777777" w:rsidR="00476EB7" w:rsidRDefault="00000000">
    <w:pPr>
      <w:spacing w:after="0" w:line="259" w:lineRule="auto"/>
      <w:ind w:left="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Calibri" w:eastAsia="Calibri" w:hAnsi="Calibri" w:cs="Calibri"/>
      </w:rPr>
      <w:t xml:space="preserve"> </w:t>
    </w:r>
  </w:p>
  <w:p w14:paraId="57428073" w14:textId="77777777" w:rsidR="00476EB7" w:rsidRDefault="00000000">
    <w:pPr>
      <w:spacing w:after="0" w:line="259" w:lineRule="auto"/>
      <w:ind w:left="14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F938" w14:textId="77777777" w:rsidR="00476EB7" w:rsidRDefault="00000000">
    <w:pPr>
      <w:spacing w:after="0" w:line="259" w:lineRule="auto"/>
      <w:ind w:left="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Calibri" w:eastAsia="Calibri" w:hAnsi="Calibri" w:cs="Calibri"/>
      </w:rPr>
      <w:t xml:space="preserve"> </w:t>
    </w:r>
  </w:p>
  <w:p w14:paraId="0A2B9823" w14:textId="77777777" w:rsidR="00476EB7" w:rsidRDefault="00000000">
    <w:pPr>
      <w:spacing w:after="0" w:line="259" w:lineRule="auto"/>
      <w:ind w:left="14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E5A0" w14:textId="77777777" w:rsidR="00FD4934" w:rsidRDefault="00FD4934">
      <w:pPr>
        <w:spacing w:after="0" w:line="240" w:lineRule="auto"/>
      </w:pPr>
      <w:r>
        <w:separator/>
      </w:r>
    </w:p>
  </w:footnote>
  <w:footnote w:type="continuationSeparator" w:id="0">
    <w:p w14:paraId="72BCD953" w14:textId="77777777" w:rsidR="00FD4934" w:rsidRDefault="00FD4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1A9"/>
    <w:multiLevelType w:val="hybridMultilevel"/>
    <w:tmpl w:val="749262FE"/>
    <w:lvl w:ilvl="0" w:tplc="08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" w15:restartNumberingAfterBreak="0">
    <w:nsid w:val="068B3B15"/>
    <w:multiLevelType w:val="hybridMultilevel"/>
    <w:tmpl w:val="A5E010C6"/>
    <w:lvl w:ilvl="0" w:tplc="C87E0F28">
      <w:start w:val="1"/>
      <w:numFmt w:val="upperRoman"/>
      <w:lvlText w:val="%1."/>
      <w:lvlJc w:val="left"/>
      <w:pPr>
        <w:ind w:left="3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8C5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4C72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180D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74C9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AC0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2D9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D84F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0BE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352C5"/>
    <w:multiLevelType w:val="hybridMultilevel"/>
    <w:tmpl w:val="4A1EBEF0"/>
    <w:lvl w:ilvl="0" w:tplc="08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" w15:restartNumberingAfterBreak="0">
    <w:nsid w:val="0B3B05E3"/>
    <w:multiLevelType w:val="hybridMultilevel"/>
    <w:tmpl w:val="EF30CDE4"/>
    <w:lvl w:ilvl="0" w:tplc="207A33C8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2DA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8AF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EEDB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EA38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6695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1A01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0CDE4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46E3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C30E9"/>
    <w:multiLevelType w:val="hybridMultilevel"/>
    <w:tmpl w:val="18749AAC"/>
    <w:lvl w:ilvl="0" w:tplc="636210B8">
      <w:start w:val="1"/>
      <w:numFmt w:val="bullet"/>
      <w:lvlText w:val="•"/>
      <w:lvlJc w:val="left"/>
      <w:pPr>
        <w:ind w:left="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2E1F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8E88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436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A34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EE07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6F1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2BE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8D7C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0210BC"/>
    <w:multiLevelType w:val="hybridMultilevel"/>
    <w:tmpl w:val="4C606EEE"/>
    <w:lvl w:ilvl="0" w:tplc="19EA7BE6">
      <w:start w:val="1"/>
      <w:numFmt w:val="bullet"/>
      <w:lvlText w:val="✓"/>
      <w:lvlJc w:val="left"/>
      <w:pPr>
        <w:ind w:left="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32A0D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E0BF0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0B6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72DE4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8C6F7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06EA0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6426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7273D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851DFF"/>
    <w:multiLevelType w:val="hybridMultilevel"/>
    <w:tmpl w:val="D1705F8E"/>
    <w:lvl w:ilvl="0" w:tplc="2F5E7384">
      <w:start w:val="1"/>
      <w:numFmt w:val="bullet"/>
      <w:lvlText w:val="➢"/>
      <w:lvlJc w:val="left"/>
      <w:pPr>
        <w:ind w:left="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54A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C811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F81E6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2831D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6062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0AD9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621A9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5E4C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337023"/>
    <w:multiLevelType w:val="hybridMultilevel"/>
    <w:tmpl w:val="7C2AC37A"/>
    <w:lvl w:ilvl="0" w:tplc="ACE8D08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8397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68B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A007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1245D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8893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2EB2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A4FF5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B64F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F01A04"/>
    <w:multiLevelType w:val="hybridMultilevel"/>
    <w:tmpl w:val="75360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E5847"/>
    <w:multiLevelType w:val="multilevel"/>
    <w:tmpl w:val="D5FA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12973">
    <w:abstractNumId w:val="1"/>
  </w:num>
  <w:num w:numId="2" w16cid:durableId="38209250">
    <w:abstractNumId w:val="6"/>
  </w:num>
  <w:num w:numId="3" w16cid:durableId="249971668">
    <w:abstractNumId w:val="4"/>
  </w:num>
  <w:num w:numId="4" w16cid:durableId="242566364">
    <w:abstractNumId w:val="7"/>
  </w:num>
  <w:num w:numId="5" w16cid:durableId="950085167">
    <w:abstractNumId w:val="5"/>
  </w:num>
  <w:num w:numId="6" w16cid:durableId="414866522">
    <w:abstractNumId w:val="3"/>
  </w:num>
  <w:num w:numId="7" w16cid:durableId="834031586">
    <w:abstractNumId w:val="9"/>
  </w:num>
  <w:num w:numId="8" w16cid:durableId="1893422165">
    <w:abstractNumId w:val="2"/>
  </w:num>
  <w:num w:numId="9" w16cid:durableId="1164970814">
    <w:abstractNumId w:val="0"/>
  </w:num>
  <w:num w:numId="10" w16cid:durableId="132218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B7"/>
    <w:rsid w:val="000068C2"/>
    <w:rsid w:val="00007E86"/>
    <w:rsid w:val="00100DCD"/>
    <w:rsid w:val="00132577"/>
    <w:rsid w:val="001570AF"/>
    <w:rsid w:val="00157B61"/>
    <w:rsid w:val="00195709"/>
    <w:rsid w:val="001E4B72"/>
    <w:rsid w:val="001F7D5F"/>
    <w:rsid w:val="002054B6"/>
    <w:rsid w:val="0021355D"/>
    <w:rsid w:val="00234322"/>
    <w:rsid w:val="00246279"/>
    <w:rsid w:val="00260D60"/>
    <w:rsid w:val="0027183E"/>
    <w:rsid w:val="00274A65"/>
    <w:rsid w:val="00275DC8"/>
    <w:rsid w:val="002C567D"/>
    <w:rsid w:val="002E1C69"/>
    <w:rsid w:val="0030372A"/>
    <w:rsid w:val="00344135"/>
    <w:rsid w:val="003519A5"/>
    <w:rsid w:val="00371E5F"/>
    <w:rsid w:val="003B09FF"/>
    <w:rsid w:val="003B36C3"/>
    <w:rsid w:val="003C7297"/>
    <w:rsid w:val="0041490E"/>
    <w:rsid w:val="004212AB"/>
    <w:rsid w:val="00476EB7"/>
    <w:rsid w:val="00480511"/>
    <w:rsid w:val="0048168B"/>
    <w:rsid w:val="004A0627"/>
    <w:rsid w:val="004B72D7"/>
    <w:rsid w:val="004D0D83"/>
    <w:rsid w:val="00512565"/>
    <w:rsid w:val="005754BE"/>
    <w:rsid w:val="00581887"/>
    <w:rsid w:val="00590F20"/>
    <w:rsid w:val="005A0464"/>
    <w:rsid w:val="005A577A"/>
    <w:rsid w:val="005A5BFB"/>
    <w:rsid w:val="005D3823"/>
    <w:rsid w:val="00627B46"/>
    <w:rsid w:val="00633DF5"/>
    <w:rsid w:val="006B5553"/>
    <w:rsid w:val="006B76BF"/>
    <w:rsid w:val="006C5543"/>
    <w:rsid w:val="00740C0C"/>
    <w:rsid w:val="00743971"/>
    <w:rsid w:val="00755DF5"/>
    <w:rsid w:val="007662BF"/>
    <w:rsid w:val="007B38B3"/>
    <w:rsid w:val="007D493A"/>
    <w:rsid w:val="007F02D6"/>
    <w:rsid w:val="007F11EA"/>
    <w:rsid w:val="007F7592"/>
    <w:rsid w:val="00875BCF"/>
    <w:rsid w:val="00883640"/>
    <w:rsid w:val="00885806"/>
    <w:rsid w:val="008A13A9"/>
    <w:rsid w:val="008D2870"/>
    <w:rsid w:val="008D6235"/>
    <w:rsid w:val="008E32E8"/>
    <w:rsid w:val="00937431"/>
    <w:rsid w:val="009411BF"/>
    <w:rsid w:val="0094233D"/>
    <w:rsid w:val="009539E6"/>
    <w:rsid w:val="009715E7"/>
    <w:rsid w:val="009846F6"/>
    <w:rsid w:val="00985E7B"/>
    <w:rsid w:val="00987942"/>
    <w:rsid w:val="00996266"/>
    <w:rsid w:val="009A12D5"/>
    <w:rsid w:val="009C0721"/>
    <w:rsid w:val="009E2B53"/>
    <w:rsid w:val="009E46ED"/>
    <w:rsid w:val="009F3CD6"/>
    <w:rsid w:val="009F4F45"/>
    <w:rsid w:val="00A03760"/>
    <w:rsid w:val="00A31849"/>
    <w:rsid w:val="00A46CB8"/>
    <w:rsid w:val="00A52FC1"/>
    <w:rsid w:val="00A753DF"/>
    <w:rsid w:val="00A81D75"/>
    <w:rsid w:val="00A940C6"/>
    <w:rsid w:val="00AA3279"/>
    <w:rsid w:val="00AB0D7E"/>
    <w:rsid w:val="00AE23E9"/>
    <w:rsid w:val="00B52AFC"/>
    <w:rsid w:val="00B71403"/>
    <w:rsid w:val="00B85C8C"/>
    <w:rsid w:val="00BC1332"/>
    <w:rsid w:val="00BF44F3"/>
    <w:rsid w:val="00C33ADC"/>
    <w:rsid w:val="00C63A4D"/>
    <w:rsid w:val="00C658CF"/>
    <w:rsid w:val="00C80911"/>
    <w:rsid w:val="00C90449"/>
    <w:rsid w:val="00CE1EEB"/>
    <w:rsid w:val="00CF1E0F"/>
    <w:rsid w:val="00CF2B65"/>
    <w:rsid w:val="00CF3AD0"/>
    <w:rsid w:val="00CF5CE4"/>
    <w:rsid w:val="00D07A0F"/>
    <w:rsid w:val="00D43FB7"/>
    <w:rsid w:val="00D46806"/>
    <w:rsid w:val="00D67858"/>
    <w:rsid w:val="00DB6521"/>
    <w:rsid w:val="00DC343B"/>
    <w:rsid w:val="00DD0818"/>
    <w:rsid w:val="00DE7C6F"/>
    <w:rsid w:val="00DF4339"/>
    <w:rsid w:val="00E0585F"/>
    <w:rsid w:val="00E072D0"/>
    <w:rsid w:val="00E153C7"/>
    <w:rsid w:val="00E16513"/>
    <w:rsid w:val="00E43BFF"/>
    <w:rsid w:val="00E76997"/>
    <w:rsid w:val="00EB77D5"/>
    <w:rsid w:val="00EC70BC"/>
    <w:rsid w:val="00EE0079"/>
    <w:rsid w:val="00F05D3D"/>
    <w:rsid w:val="00F36522"/>
    <w:rsid w:val="00F41C7A"/>
    <w:rsid w:val="00F435B1"/>
    <w:rsid w:val="00FA3974"/>
    <w:rsid w:val="00FC7CBE"/>
    <w:rsid w:val="00FD4934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1E5A"/>
  <w15:docId w15:val="{ED41D71F-A463-443D-AD51-CCA6B6F4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3" w:line="270" w:lineRule="auto"/>
      <w:ind w:left="10" w:right="70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B3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0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RA&#268;UN\2026\prve%20izmjene%20i%20dopune%20prora&#269;una\POMO&#262;NA%20TABLIC%20-%20GRAFIKONBook1-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RA&#268;UN\2026\prve%20izmjene%20i%20dopune%20prora&#269;una\POMO&#262;NA%20TABLIC%20-%20GRAFIKONBook1-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Usporedba prihoda kod prvih izmjena i dopuna proračuna sa izvornim planom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Sheet2!$B$52</c:f>
              <c:strCache>
                <c:ptCount val="1"/>
                <c:pt idx="0">
                  <c:v>PLAN 2026.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Sheet2!$A$53:$A$61</c:f>
              <c:strCache>
                <c:ptCount val="9"/>
                <c:pt idx="0">
                  <c:v>Prihodi od poreza (61)</c:v>
                </c:pt>
                <c:pt idx="1">
                  <c:v>Pomoći (63)</c:v>
                </c:pt>
                <c:pt idx="2">
                  <c:v>Prihodi od imovine (64)</c:v>
                </c:pt>
                <c:pt idx="3">
                  <c:v>Od upravnih prist. i po pos.prop.  (65)</c:v>
                </c:pt>
                <c:pt idx="4">
                  <c:v>Od donacija (66)</c:v>
                </c:pt>
                <c:pt idx="5">
                  <c:v>Ostalo (68)</c:v>
                </c:pt>
                <c:pt idx="6">
                  <c:v>Od prodaje nefin.imovine (7)</c:v>
                </c:pt>
                <c:pt idx="7">
                  <c:v>Višak prihoda preth.god. (922)</c:v>
                </c:pt>
                <c:pt idx="8">
                  <c:v>Primici od financ.imovine  i zaduženja (8)</c:v>
                </c:pt>
              </c:strCache>
            </c:strRef>
          </c:cat>
          <c:val>
            <c:numRef>
              <c:f>Sheet2!$B$53:$B$61</c:f>
              <c:numCache>
                <c:formatCode>#,##0.00</c:formatCode>
                <c:ptCount val="9"/>
                <c:pt idx="0">
                  <c:v>3505019</c:v>
                </c:pt>
                <c:pt idx="1">
                  <c:v>2897211</c:v>
                </c:pt>
                <c:pt idx="2">
                  <c:v>276620</c:v>
                </c:pt>
                <c:pt idx="3">
                  <c:v>582200</c:v>
                </c:pt>
                <c:pt idx="4">
                  <c:v>26000</c:v>
                </c:pt>
                <c:pt idx="5">
                  <c:v>10000</c:v>
                </c:pt>
                <c:pt idx="6">
                  <c:v>200000</c:v>
                </c:pt>
                <c:pt idx="7">
                  <c:v>902950</c:v>
                </c:pt>
                <c:pt idx="8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6C-41FA-AE60-B584DD1D00A9}"/>
            </c:ext>
          </c:extLst>
        </c:ser>
        <c:ser>
          <c:idx val="1"/>
          <c:order val="1"/>
          <c:tx>
            <c:strRef>
              <c:f>Sheet2!$C$52</c:f>
              <c:strCache>
                <c:ptCount val="1"/>
                <c:pt idx="0">
                  <c:v>PRVE IZMJENE I DOPUNE 2026.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Sheet2!$A$53:$A$61</c:f>
              <c:strCache>
                <c:ptCount val="9"/>
                <c:pt idx="0">
                  <c:v>Prihodi od poreza (61)</c:v>
                </c:pt>
                <c:pt idx="1">
                  <c:v>Pomoći (63)</c:v>
                </c:pt>
                <c:pt idx="2">
                  <c:v>Prihodi od imovine (64)</c:v>
                </c:pt>
                <c:pt idx="3">
                  <c:v>Od upravnih prist. i po pos.prop.  (65)</c:v>
                </c:pt>
                <c:pt idx="4">
                  <c:v>Od donacija (66)</c:v>
                </c:pt>
                <c:pt idx="5">
                  <c:v>Ostalo (68)</c:v>
                </c:pt>
                <c:pt idx="6">
                  <c:v>Od prodaje nefin.imovine (7)</c:v>
                </c:pt>
                <c:pt idx="7">
                  <c:v>Višak prihoda preth.god. (922)</c:v>
                </c:pt>
                <c:pt idx="8">
                  <c:v>Primici od financ.imovine  i zaduženja (8)</c:v>
                </c:pt>
              </c:strCache>
            </c:strRef>
          </c:cat>
          <c:val>
            <c:numRef>
              <c:f>Sheet2!$C$53:$C$61</c:f>
              <c:numCache>
                <c:formatCode>#,##0.00</c:formatCode>
                <c:ptCount val="9"/>
                <c:pt idx="0">
                  <c:v>4006937</c:v>
                </c:pt>
                <c:pt idx="1">
                  <c:v>2995117.37</c:v>
                </c:pt>
                <c:pt idx="2">
                  <c:v>308620</c:v>
                </c:pt>
                <c:pt idx="3">
                  <c:v>554007.87</c:v>
                </c:pt>
                <c:pt idx="4">
                  <c:v>26000</c:v>
                </c:pt>
                <c:pt idx="5">
                  <c:v>10000</c:v>
                </c:pt>
                <c:pt idx="6">
                  <c:v>200000</c:v>
                </c:pt>
                <c:pt idx="7">
                  <c:v>407317.76000000001</c:v>
                </c:pt>
                <c:pt idx="8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6C-41FA-AE60-B584DD1D00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2049272"/>
        <c:axId val="522045672"/>
      </c:barChart>
      <c:catAx>
        <c:axId val="522049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2045672"/>
        <c:crosses val="autoZero"/>
        <c:auto val="1"/>
        <c:lblAlgn val="ctr"/>
        <c:lblOffset val="100"/>
        <c:noMultiLvlLbl val="0"/>
      </c:catAx>
      <c:valAx>
        <c:axId val="522045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2049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Usporedba</a:t>
            </a:r>
            <a:r>
              <a:rPr lang="hr-HR" baseline="0"/>
              <a:t> rashoda kod prvih izmjena i dopuna proračuna sa izvornim planom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Sheet2!$B$65</c:f>
              <c:strCache>
                <c:ptCount val="1"/>
                <c:pt idx="0">
                  <c:v>PLAN 2026.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Sheet2!$A$66:$A$74</c:f>
              <c:strCache>
                <c:ptCount val="9"/>
                <c:pt idx="0">
                  <c:v>Rashodi za zaposlene (31)</c:v>
                </c:pt>
                <c:pt idx="1">
                  <c:v>Materijalni rashodi (32)</c:v>
                </c:pt>
                <c:pt idx="2">
                  <c:v>Financijski rashodi (34)</c:v>
                </c:pt>
                <c:pt idx="3">
                  <c:v>Subvencije (35)</c:v>
                </c:pt>
                <c:pt idx="4">
                  <c:v>Pomoći (36)</c:v>
                </c:pt>
                <c:pt idx="5">
                  <c:v>Naknade građanima i kućanstvima (37)</c:v>
                </c:pt>
                <c:pt idx="6">
                  <c:v>Ostali rashodi (38)</c:v>
                </c:pt>
                <c:pt idx="7">
                  <c:v>Rashodi za nabavu nef. Imovine  (4)</c:v>
                </c:pt>
                <c:pt idx="8">
                  <c:v>Izdaci za otplatu glavnice primljenih kredita i zajmova (5)</c:v>
                </c:pt>
              </c:strCache>
            </c:strRef>
          </c:cat>
          <c:val>
            <c:numRef>
              <c:f>Sheet2!$B$66:$B$74</c:f>
              <c:numCache>
                <c:formatCode>#,##0.00</c:formatCode>
                <c:ptCount val="9"/>
                <c:pt idx="0">
                  <c:v>697200</c:v>
                </c:pt>
                <c:pt idx="1">
                  <c:v>1593800</c:v>
                </c:pt>
                <c:pt idx="2">
                  <c:v>26272</c:v>
                </c:pt>
                <c:pt idx="3">
                  <c:v>323000</c:v>
                </c:pt>
                <c:pt idx="4">
                  <c:v>54500</c:v>
                </c:pt>
                <c:pt idx="5">
                  <c:v>1230400</c:v>
                </c:pt>
                <c:pt idx="6">
                  <c:v>528050</c:v>
                </c:pt>
                <c:pt idx="7">
                  <c:v>3724200</c:v>
                </c:pt>
                <c:pt idx="8">
                  <c:v>222578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3A-4B53-821E-BFB126621E5F}"/>
            </c:ext>
          </c:extLst>
        </c:ser>
        <c:ser>
          <c:idx val="1"/>
          <c:order val="1"/>
          <c:tx>
            <c:strRef>
              <c:f>Sheet2!$C$65</c:f>
              <c:strCache>
                <c:ptCount val="1"/>
                <c:pt idx="0">
                  <c:v>PRVE IZMJENE I DOPUNE 2026.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Sheet2!$A$66:$A$74</c:f>
              <c:strCache>
                <c:ptCount val="9"/>
                <c:pt idx="0">
                  <c:v>Rashodi za zaposlene (31)</c:v>
                </c:pt>
                <c:pt idx="1">
                  <c:v>Materijalni rashodi (32)</c:v>
                </c:pt>
                <c:pt idx="2">
                  <c:v>Financijski rashodi (34)</c:v>
                </c:pt>
                <c:pt idx="3">
                  <c:v>Subvencije (35)</c:v>
                </c:pt>
                <c:pt idx="4">
                  <c:v>Pomoći (36)</c:v>
                </c:pt>
                <c:pt idx="5">
                  <c:v>Naknade građanima i kućanstvima (37)</c:v>
                </c:pt>
                <c:pt idx="6">
                  <c:v>Ostali rashodi (38)</c:v>
                </c:pt>
                <c:pt idx="7">
                  <c:v>Rashodi za nabavu nef. Imovine  (4)</c:v>
                </c:pt>
                <c:pt idx="8">
                  <c:v>Izdaci za otplatu glavnice primljenih kredita i zajmova (5)</c:v>
                </c:pt>
              </c:strCache>
            </c:strRef>
          </c:cat>
          <c:val>
            <c:numRef>
              <c:f>Sheet2!$C$66:$C$74</c:f>
              <c:numCache>
                <c:formatCode>#,##0.00</c:formatCode>
                <c:ptCount val="9"/>
                <c:pt idx="0">
                  <c:v>700400</c:v>
                </c:pt>
                <c:pt idx="1">
                  <c:v>1731450</c:v>
                </c:pt>
                <c:pt idx="2">
                  <c:v>27272</c:v>
                </c:pt>
                <c:pt idx="3">
                  <c:v>323000</c:v>
                </c:pt>
                <c:pt idx="4">
                  <c:v>54500</c:v>
                </c:pt>
                <c:pt idx="5">
                  <c:v>1232400</c:v>
                </c:pt>
                <c:pt idx="6">
                  <c:v>547200</c:v>
                </c:pt>
                <c:pt idx="7">
                  <c:v>3669200</c:v>
                </c:pt>
                <c:pt idx="8">
                  <c:v>222578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3A-4B53-821E-BFB126621E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2051072"/>
        <c:axId val="522047112"/>
      </c:barChart>
      <c:catAx>
        <c:axId val="522051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2047112"/>
        <c:crosses val="autoZero"/>
        <c:auto val="1"/>
        <c:lblAlgn val="ctr"/>
        <c:lblOffset val="100"/>
        <c:noMultiLvlLbl val="0"/>
      </c:catAx>
      <c:valAx>
        <c:axId val="522047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2051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8</Pages>
  <Words>3067</Words>
  <Characters>17484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cp:lastModifiedBy>Martina Perhat</cp:lastModifiedBy>
  <cp:revision>34</cp:revision>
  <cp:lastPrinted>2026-05-12T11:34:00Z</cp:lastPrinted>
  <dcterms:created xsi:type="dcterms:W3CDTF">2025-06-09T10:11:00Z</dcterms:created>
  <dcterms:modified xsi:type="dcterms:W3CDTF">2026-05-29T09:08:00Z</dcterms:modified>
</cp:coreProperties>
</file>