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7337" w14:textId="67B41FD4" w:rsidR="00AF59BB" w:rsidRPr="00AF59BB" w:rsidRDefault="00AF59BB" w:rsidP="00AF59BB">
      <w:pPr>
        <w:spacing w:before="100" w:beforeAutospacing="1" w:after="120" w:line="276" w:lineRule="auto"/>
        <w:jc w:val="right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>PRIJEDLOG ODLUKE</w:t>
      </w:r>
    </w:p>
    <w:p w14:paraId="10B93179" w14:textId="029F4839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Na temelju članka 7., 12. i 13. Zakona o ustanovama (“Narodne novine” broj 76/93., 29/97.,</w:t>
      </w:r>
      <w:r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47/99., 35/08., 127/19. i 151/22.), članka 7. i 8. Zakona o predškolskom odgoju i obrazovanju „Narodne</w:t>
      </w:r>
      <w:r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 xml:space="preserve">novine“ broj 10/97., 107/07., 94/13., 98/19. i 57/22.) i članka </w:t>
      </w:r>
      <w:r w:rsidR="000B41EA">
        <w:rPr>
          <w:rFonts w:ascii="Arial" w:hAnsi="Arial" w:cs="Arial"/>
        </w:rPr>
        <w:t>33</w:t>
      </w:r>
      <w:r w:rsidRPr="001A3418">
        <w:rPr>
          <w:rFonts w:ascii="Arial" w:hAnsi="Arial" w:cs="Arial"/>
        </w:rPr>
        <w:t>.</w:t>
      </w:r>
      <w:r w:rsidR="000B41EA">
        <w:rPr>
          <w:rFonts w:ascii="Arial" w:hAnsi="Arial" w:cs="Arial"/>
        </w:rPr>
        <w:t xml:space="preserve"> stavak 1. točka 15.</w:t>
      </w:r>
      <w:r w:rsidRPr="001A3418">
        <w:rPr>
          <w:rFonts w:ascii="Arial" w:hAnsi="Arial" w:cs="Arial"/>
        </w:rPr>
        <w:t xml:space="preserve"> Statuta </w:t>
      </w:r>
      <w:r>
        <w:rPr>
          <w:rFonts w:ascii="Arial" w:hAnsi="Arial" w:cs="Arial"/>
        </w:rPr>
        <w:t>Općine Jelenje</w:t>
      </w:r>
      <w:r w:rsidRPr="001A3418">
        <w:rPr>
          <w:rFonts w:ascii="Arial" w:hAnsi="Arial" w:cs="Arial"/>
        </w:rPr>
        <w:t xml:space="preserve"> („Službene</w:t>
      </w:r>
      <w:r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 xml:space="preserve">novine </w:t>
      </w:r>
      <w:r>
        <w:rPr>
          <w:rFonts w:ascii="Arial" w:hAnsi="Arial" w:cs="Arial"/>
        </w:rPr>
        <w:t>Općine Jelenje</w:t>
      </w:r>
      <w:r w:rsidRPr="001A3418">
        <w:rPr>
          <w:rFonts w:ascii="Arial" w:hAnsi="Arial" w:cs="Arial"/>
        </w:rPr>
        <w:t xml:space="preserve">“ broj </w:t>
      </w:r>
      <w:r w:rsidR="000B41EA">
        <w:rPr>
          <w:rFonts w:ascii="Arial" w:hAnsi="Arial" w:cs="Arial"/>
        </w:rPr>
        <w:t xml:space="preserve">59/23. </w:t>
      </w:r>
      <w:r w:rsidR="00AF59BB">
        <w:rPr>
          <w:rFonts w:ascii="Arial" w:hAnsi="Arial" w:cs="Arial"/>
        </w:rPr>
        <w:t>i</w:t>
      </w:r>
      <w:r w:rsidR="000B41EA">
        <w:rPr>
          <w:rFonts w:ascii="Arial" w:hAnsi="Arial" w:cs="Arial"/>
        </w:rPr>
        <w:t xml:space="preserve"> </w:t>
      </w:r>
      <w:r w:rsidR="00AF59BB">
        <w:rPr>
          <w:rFonts w:ascii="Arial" w:hAnsi="Arial" w:cs="Arial"/>
        </w:rPr>
        <w:t>82/25.</w:t>
      </w:r>
      <w:r w:rsidRPr="001A3418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Općinsko vijeće Općine Jelenje</w:t>
      </w:r>
      <w:r w:rsidRPr="001A3418">
        <w:rPr>
          <w:rFonts w:ascii="Arial" w:hAnsi="Arial" w:cs="Arial"/>
        </w:rPr>
        <w:t xml:space="preserve"> na svojoj sjednici od ___________ 202</w:t>
      </w:r>
      <w:r>
        <w:rPr>
          <w:rFonts w:ascii="Arial" w:hAnsi="Arial" w:cs="Arial"/>
        </w:rPr>
        <w:t>6</w:t>
      </w:r>
      <w:r w:rsidRPr="001A3418">
        <w:rPr>
          <w:rFonts w:ascii="Arial" w:hAnsi="Arial" w:cs="Arial"/>
        </w:rPr>
        <w:t>. godine donijelo je</w:t>
      </w:r>
    </w:p>
    <w:p w14:paraId="2BABB072" w14:textId="77777777" w:rsidR="001A3418" w:rsidRPr="001A3418" w:rsidRDefault="001A3418" w:rsidP="001A3418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1A3418">
        <w:rPr>
          <w:rFonts w:ascii="Arial" w:hAnsi="Arial" w:cs="Arial"/>
          <w:b/>
          <w:bCs/>
        </w:rPr>
        <w:t>ODLUKU</w:t>
      </w:r>
    </w:p>
    <w:p w14:paraId="749CD5CF" w14:textId="3BB16D3D" w:rsidR="001A3418" w:rsidRPr="001A3418" w:rsidRDefault="001A3418" w:rsidP="001A3418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1A3418">
        <w:rPr>
          <w:rFonts w:ascii="Arial" w:hAnsi="Arial" w:cs="Arial"/>
          <w:b/>
          <w:bCs/>
        </w:rPr>
        <w:t>o osnivanju Dječjeg vrtića „Jelenjski tići“ Podhum</w:t>
      </w:r>
    </w:p>
    <w:p w14:paraId="3FC36295" w14:textId="77777777" w:rsidR="001A3418" w:rsidRPr="001A3418" w:rsidRDefault="001A3418" w:rsidP="001A3418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1A3418">
        <w:rPr>
          <w:rFonts w:ascii="Arial" w:hAnsi="Arial" w:cs="Arial"/>
          <w:b/>
          <w:bCs/>
        </w:rPr>
        <w:t>I. TEMELJNE ODREDBE</w:t>
      </w:r>
    </w:p>
    <w:p w14:paraId="45A9B5AF" w14:textId="77777777" w:rsidR="001A3418" w:rsidRPr="001A3418" w:rsidRDefault="001A3418" w:rsidP="001A3418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1A3418">
        <w:rPr>
          <w:rFonts w:ascii="Arial" w:hAnsi="Arial" w:cs="Arial"/>
          <w:b/>
          <w:bCs/>
        </w:rPr>
        <w:t>Članak 1.</w:t>
      </w:r>
    </w:p>
    <w:p w14:paraId="4FAFB945" w14:textId="1D7E19C4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Ovom Odlukom osniva se javna ustanova za predškolski odgoj i obrazovanje te skrb o djeci</w:t>
      </w:r>
      <w:r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rane i predškolske dobi pod nazivom: Dječji vrtić „</w:t>
      </w:r>
      <w:r>
        <w:rPr>
          <w:rFonts w:ascii="Arial" w:hAnsi="Arial" w:cs="Arial"/>
        </w:rPr>
        <w:t>Jelenjski tići</w:t>
      </w:r>
      <w:r w:rsidRPr="001A3418">
        <w:rPr>
          <w:rFonts w:ascii="Arial" w:hAnsi="Arial" w:cs="Arial"/>
        </w:rPr>
        <w:t>“ P</w:t>
      </w:r>
      <w:r>
        <w:rPr>
          <w:rFonts w:ascii="Arial" w:hAnsi="Arial" w:cs="Arial"/>
        </w:rPr>
        <w:t>odhum</w:t>
      </w:r>
      <w:r w:rsidRPr="001A3418">
        <w:rPr>
          <w:rFonts w:ascii="Arial" w:hAnsi="Arial" w:cs="Arial"/>
        </w:rPr>
        <w:t xml:space="preserve"> (u daljnjem tekstu: Dječji vrtić).</w:t>
      </w:r>
    </w:p>
    <w:p w14:paraId="236371F9" w14:textId="7651B449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Sjedište Dječjeg vrtića je u P</w:t>
      </w:r>
      <w:r>
        <w:rPr>
          <w:rFonts w:ascii="Arial" w:hAnsi="Arial" w:cs="Arial"/>
        </w:rPr>
        <w:t>odhumu, Podhum 125</w:t>
      </w:r>
      <w:r w:rsidRPr="001A3418">
        <w:rPr>
          <w:rFonts w:ascii="Arial" w:hAnsi="Arial" w:cs="Arial"/>
        </w:rPr>
        <w:t>, 5</w:t>
      </w:r>
      <w:r>
        <w:rPr>
          <w:rFonts w:ascii="Arial" w:hAnsi="Arial" w:cs="Arial"/>
        </w:rPr>
        <w:t>1218 Dražice</w:t>
      </w:r>
      <w:r w:rsidRPr="001A3418">
        <w:rPr>
          <w:rFonts w:ascii="Arial" w:hAnsi="Arial" w:cs="Arial"/>
        </w:rPr>
        <w:t>.</w:t>
      </w:r>
    </w:p>
    <w:p w14:paraId="39181222" w14:textId="77777777" w:rsidR="001A3418" w:rsidRPr="001A3418" w:rsidRDefault="001A3418" w:rsidP="001A3418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1A3418">
        <w:rPr>
          <w:rFonts w:ascii="Arial" w:hAnsi="Arial" w:cs="Arial"/>
          <w:b/>
          <w:bCs/>
        </w:rPr>
        <w:t>Članak 2.</w:t>
      </w:r>
    </w:p>
    <w:p w14:paraId="1FF1E9C7" w14:textId="25AAC315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 xml:space="preserve">Osnivač Dječjeg vrtića je </w:t>
      </w:r>
      <w:r>
        <w:rPr>
          <w:rFonts w:ascii="Arial" w:hAnsi="Arial" w:cs="Arial"/>
        </w:rPr>
        <w:t>Općina Jelenje</w:t>
      </w:r>
      <w:r w:rsidRPr="001A341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Dražičkih boraca 64, 51218 Dražice,</w:t>
      </w:r>
      <w:r w:rsidRPr="001A3418">
        <w:rPr>
          <w:rFonts w:ascii="Arial" w:hAnsi="Arial" w:cs="Arial"/>
        </w:rPr>
        <w:t xml:space="preserve"> OIB:</w:t>
      </w:r>
      <w:r w:rsidRPr="001A3418">
        <w:t xml:space="preserve"> </w:t>
      </w:r>
      <w:r w:rsidRPr="001A3418">
        <w:rPr>
          <w:rFonts w:ascii="Arial" w:hAnsi="Arial" w:cs="Arial"/>
        </w:rPr>
        <w:t>37666833094</w:t>
      </w:r>
      <w:r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(u daljnjem tekstu: Osnivač).</w:t>
      </w:r>
    </w:p>
    <w:p w14:paraId="44C256E3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  <w:b/>
          <w:bCs/>
        </w:rPr>
      </w:pPr>
      <w:r w:rsidRPr="001A3418">
        <w:rPr>
          <w:rFonts w:ascii="Arial" w:hAnsi="Arial" w:cs="Arial"/>
          <w:b/>
          <w:bCs/>
        </w:rPr>
        <w:t>II. DJELATNOST DJEČJEG VRTIĆA</w:t>
      </w:r>
    </w:p>
    <w:p w14:paraId="6E8C0DC4" w14:textId="77777777" w:rsidR="001A3418" w:rsidRPr="001A3418" w:rsidRDefault="001A3418" w:rsidP="001A3418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1A3418">
        <w:rPr>
          <w:rFonts w:ascii="Arial" w:hAnsi="Arial" w:cs="Arial"/>
          <w:b/>
          <w:bCs/>
        </w:rPr>
        <w:t>Članak 3.</w:t>
      </w:r>
    </w:p>
    <w:p w14:paraId="25921D54" w14:textId="33C1116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Djelatnost Dječjeg vrtića je predškolski odgoj i obrazovanje te skrb o djeci rane i predškolske</w:t>
      </w:r>
      <w:r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 xml:space="preserve">dobi </w:t>
      </w:r>
      <w:r w:rsidR="000B41EA">
        <w:rPr>
          <w:rFonts w:ascii="Arial" w:hAnsi="Arial" w:cs="Arial"/>
        </w:rPr>
        <w:t xml:space="preserve">(u daljnjem tekstu: predškolski odgoj) </w:t>
      </w:r>
      <w:r w:rsidRPr="001A3418">
        <w:rPr>
          <w:rFonts w:ascii="Arial" w:hAnsi="Arial" w:cs="Arial"/>
        </w:rPr>
        <w:t>od navršenih šest mjeseci života do polaska u osnovnu školu.</w:t>
      </w:r>
    </w:p>
    <w:p w14:paraId="717BF1C9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9F3D9C">
        <w:rPr>
          <w:rFonts w:ascii="Arial" w:hAnsi="Arial" w:cs="Arial"/>
        </w:rPr>
        <w:t>Dječji vrtić je javna ustanova koja djelatnost predškolskog odgoja obavlja kao javnu službu.</w:t>
      </w:r>
    </w:p>
    <w:p w14:paraId="3AF796CB" w14:textId="77777777" w:rsidR="001A3418" w:rsidRPr="001A3418" w:rsidRDefault="001A3418" w:rsidP="001A3418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1A3418">
        <w:rPr>
          <w:rFonts w:ascii="Arial" w:hAnsi="Arial" w:cs="Arial"/>
          <w:b/>
          <w:bCs/>
        </w:rPr>
        <w:t>Članak 4.</w:t>
      </w:r>
    </w:p>
    <w:p w14:paraId="4760BD71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U Dječjem vrtiću ostvaruju se sljedeći programi:</w:t>
      </w:r>
    </w:p>
    <w:p w14:paraId="020E8CE8" w14:textId="6F59F83C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redoviti program njege, odgoja, obrazovanja, zdravstvene zaštite i unaprjeđenja zdravlja</w:t>
      </w:r>
      <w:r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djece, socijalne skrbi djece rane i predškolske dobi koji su prilagođeni razvojnim potrebama djece te</w:t>
      </w:r>
      <w:r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njihovim mogućnostima i sposobnostima,</w:t>
      </w:r>
    </w:p>
    <w:p w14:paraId="034059E8" w14:textId="77777777" w:rsidR="001A3418" w:rsidRPr="0006231F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06231F">
        <w:rPr>
          <w:rFonts w:ascii="Arial" w:hAnsi="Arial" w:cs="Arial"/>
        </w:rPr>
        <w:t>- programi za djecu rane i predškolske dobi s teškoćama u razvoju,</w:t>
      </w:r>
    </w:p>
    <w:p w14:paraId="56C5C08C" w14:textId="77777777" w:rsidR="001A3418" w:rsidRPr="0006231F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06231F">
        <w:rPr>
          <w:rFonts w:ascii="Arial" w:hAnsi="Arial" w:cs="Arial"/>
        </w:rPr>
        <w:lastRenderedPageBreak/>
        <w:t>- programi za darovitu djecu rane i predškolske dobi,</w:t>
      </w:r>
    </w:p>
    <w:p w14:paraId="7ECFFC41" w14:textId="70198EB4" w:rsidR="000B41EA" w:rsidRPr="001A3418" w:rsidRDefault="000B41EA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06231F">
        <w:rPr>
          <w:rFonts w:ascii="Arial" w:hAnsi="Arial" w:cs="Arial"/>
        </w:rPr>
        <w:t>- programi na jeziku i pismu nacionalnih manjina,</w:t>
      </w:r>
    </w:p>
    <w:p w14:paraId="7B788C39" w14:textId="703194B9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program predškole,</w:t>
      </w:r>
    </w:p>
    <w:p w14:paraId="5AA8694E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drugi odgojno-obrazovni programi.</w:t>
      </w:r>
    </w:p>
    <w:p w14:paraId="41B8B688" w14:textId="39236DFA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Dječji vrtić može izvoditi i druge programe u skladu s potrebama djece i zahtjevima roditelja, a</w:t>
      </w:r>
      <w:r w:rsidR="00491326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sve sukladno Zakonu o predškolskom odgoju i obrazovanju (u daljnjem tekstu: Zakon) i Državnom</w:t>
      </w:r>
      <w:r w:rsidR="000B41EA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pedagoškom standardu predškolskog odgoja i naobrazbe.</w:t>
      </w:r>
    </w:p>
    <w:p w14:paraId="163416BE" w14:textId="77777777" w:rsidR="001A3418" w:rsidRPr="00491326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  <w:b/>
          <w:bCs/>
        </w:rPr>
      </w:pPr>
      <w:r w:rsidRPr="00491326">
        <w:rPr>
          <w:rFonts w:ascii="Arial" w:hAnsi="Arial" w:cs="Arial"/>
          <w:b/>
          <w:bCs/>
        </w:rPr>
        <w:t>III. UPRAVLJANJE DJEČJIM VRTIĆEM</w:t>
      </w:r>
    </w:p>
    <w:p w14:paraId="6759336A" w14:textId="77777777" w:rsidR="001A3418" w:rsidRPr="00491326" w:rsidRDefault="001A3418" w:rsidP="00491326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491326">
        <w:rPr>
          <w:rFonts w:ascii="Arial" w:hAnsi="Arial" w:cs="Arial"/>
          <w:b/>
          <w:bCs/>
        </w:rPr>
        <w:t>Članak 5.</w:t>
      </w:r>
    </w:p>
    <w:p w14:paraId="641652C8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Dječjim vrtićem upravlja Upravno vijeće.</w:t>
      </w:r>
    </w:p>
    <w:p w14:paraId="4772A45D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Upravno vijeće ima pet članova: predsjednika i četiri člana.</w:t>
      </w:r>
    </w:p>
    <w:p w14:paraId="04FD9E1D" w14:textId="496E377D" w:rsid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Tri člana Upravnog vijeća imenuje osnivač, jednog člana biraju roditelji djece korisnika usluga,</w:t>
      </w:r>
      <w:r w:rsidR="00491326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a jedan član bira se tajnim glasovanjem iz reda odgojitelja i stručnih suradnika Dječjeg vrtića.</w:t>
      </w:r>
    </w:p>
    <w:p w14:paraId="76900DF5" w14:textId="38394BF7" w:rsidR="00873E45" w:rsidRPr="001A3418" w:rsidRDefault="00873E45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 Upravnog vijeća kojeg imenuje Osnivač treba imati završen najmanje preddiplomski sveučilišni studij ili stručni studij na kojem se stječe najmanje 180 ECTS bodova i ne može biti radnik dječjeg vrtića u koje se Upravno vijeće imenuje.</w:t>
      </w:r>
    </w:p>
    <w:p w14:paraId="01358121" w14:textId="2A1A306D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Mandat članova Upravnog vijeća traje četiri godine</w:t>
      </w:r>
      <w:r w:rsidR="00491326">
        <w:rPr>
          <w:rFonts w:ascii="Arial" w:hAnsi="Arial" w:cs="Arial"/>
        </w:rPr>
        <w:t xml:space="preserve">, </w:t>
      </w:r>
      <w:r w:rsidRPr="001A3418">
        <w:rPr>
          <w:rFonts w:ascii="Arial" w:hAnsi="Arial" w:cs="Arial"/>
        </w:rPr>
        <w:t>a iste osobe mogu biti ponovno imenovane</w:t>
      </w:r>
      <w:r w:rsidR="00491326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i izabrane za članove Upravnog vijeća.</w:t>
      </w:r>
    </w:p>
    <w:p w14:paraId="42A950DE" w14:textId="1B5C96AD" w:rsidR="001A3418" w:rsidRPr="001A3418" w:rsidRDefault="00873E45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Sastav i broj članova Upravnog vijeća, n</w:t>
      </w:r>
      <w:r w:rsidR="001A3418" w:rsidRPr="001A3418">
        <w:rPr>
          <w:rFonts w:ascii="Arial" w:hAnsi="Arial" w:cs="Arial"/>
        </w:rPr>
        <w:t>ačin izbora odnosno imenovanja njegovih članova, način rada i donošenja odluka uređuje se</w:t>
      </w:r>
      <w:r w:rsidR="004913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aktom o osnivanju i </w:t>
      </w:r>
      <w:r w:rsidR="001A3418" w:rsidRPr="001A3418">
        <w:rPr>
          <w:rFonts w:ascii="Arial" w:hAnsi="Arial" w:cs="Arial"/>
        </w:rPr>
        <w:t>Statutom Dječjeg vrtića.</w:t>
      </w:r>
    </w:p>
    <w:p w14:paraId="74902D49" w14:textId="77777777" w:rsidR="001A3418" w:rsidRPr="00491326" w:rsidRDefault="001A3418" w:rsidP="00491326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491326">
        <w:rPr>
          <w:rFonts w:ascii="Arial" w:hAnsi="Arial" w:cs="Arial"/>
          <w:b/>
          <w:bCs/>
        </w:rPr>
        <w:t>Članak 6.</w:t>
      </w:r>
    </w:p>
    <w:p w14:paraId="5A264526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Upravno vijeće, osim prava i obveza utvrđenih zakonom, obavlja poslove:</w:t>
      </w:r>
    </w:p>
    <w:p w14:paraId="3997888A" w14:textId="100213DE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odlučuje o stjecanju, opterećivanju i otuđivanju nekretnina Dječjeg vrtića pod uvjetima</w:t>
      </w:r>
      <w:r w:rsidR="00491326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propisanim aktom o osnivanju i Statutom Dječjeg vrtića, uz suglasnost Osnivača Dječjeg vrtića,</w:t>
      </w:r>
    </w:p>
    <w:p w14:paraId="055DEBA1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predlaže Osnivaču statusne promjene Dječjeg vrtića,</w:t>
      </w:r>
    </w:p>
    <w:p w14:paraId="7F253CA0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predlaže Osnivaču promjenu naziva Dječjeg vrtića,</w:t>
      </w:r>
    </w:p>
    <w:p w14:paraId="5293CEB8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donosi Kurikulum Dječjeg vrtića te nadzire njegovo izvršenje,</w:t>
      </w:r>
    </w:p>
    <w:p w14:paraId="0B6E47C8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donosi Godišnji plan i Program rada,</w:t>
      </w:r>
    </w:p>
    <w:p w14:paraId="20C47C74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odlučuje o upisu djece i o mjerilima upisa, uz suglasnost Osnivača,</w:t>
      </w:r>
    </w:p>
    <w:p w14:paraId="3DEF8ECF" w14:textId="17A3991D" w:rsid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odlučuje o zasnivanju i prestanku radnog odnosa na prijedlog ravnatelja Dječjeg vrtića,</w:t>
      </w:r>
      <w:r w:rsidR="00491326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sukladno odredbama zakona,</w:t>
      </w:r>
    </w:p>
    <w:p w14:paraId="5E92163A" w14:textId="4A60BE88" w:rsidR="00491326" w:rsidRDefault="00491326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odlučuje o financijskom planu i godišnjem obračunu,</w:t>
      </w:r>
    </w:p>
    <w:p w14:paraId="79CF77ED" w14:textId="5605DD4F" w:rsidR="00491326" w:rsidRPr="001A3418" w:rsidRDefault="00491326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daje osnivaču i ravnatelju ustanove prijedloge i mišljenja o pojedinim pitanjima</w:t>
      </w:r>
    </w:p>
    <w:p w14:paraId="6883FAA7" w14:textId="247978CE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 xml:space="preserve">- </w:t>
      </w:r>
      <w:r w:rsidR="00491326">
        <w:rPr>
          <w:rFonts w:ascii="Arial" w:hAnsi="Arial" w:cs="Arial"/>
        </w:rPr>
        <w:t>donosi odluke i obavlja druge poslove određene zakonom, ovom Odlukom i Statutom</w:t>
      </w:r>
      <w:r w:rsidRPr="001A3418">
        <w:rPr>
          <w:rFonts w:ascii="Arial" w:hAnsi="Arial" w:cs="Arial"/>
        </w:rPr>
        <w:t xml:space="preserve"> Dječjeg vrtića.</w:t>
      </w:r>
    </w:p>
    <w:p w14:paraId="2A33C5D7" w14:textId="77777777" w:rsidR="001A3418" w:rsidRPr="00491326" w:rsidRDefault="001A3418" w:rsidP="00491326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491326">
        <w:rPr>
          <w:rFonts w:ascii="Arial" w:hAnsi="Arial" w:cs="Arial"/>
          <w:b/>
          <w:bCs/>
        </w:rPr>
        <w:t>Članak 7.</w:t>
      </w:r>
    </w:p>
    <w:p w14:paraId="1F399589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Stručno tijelo Dječjeg vrtića je Odgojiteljsko vijeće.</w:t>
      </w:r>
    </w:p>
    <w:p w14:paraId="18B41C75" w14:textId="4ED45F9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Odgojiteljsko vijeće čine svi odgojitelji, stručni suradnici i zdravstveni radnici koji ostvaruju</w:t>
      </w:r>
      <w:r w:rsidR="00491326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program predškolskog odgoja u Dječjem vrtiću.</w:t>
      </w:r>
    </w:p>
    <w:p w14:paraId="03A8D6A4" w14:textId="7A95EE1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Odgojiteljsko vijeće sudjeluje u utvrđivanju Kurikuluma Dječjeg vrtića i Plana i Programa rada</w:t>
      </w:r>
      <w:r w:rsidR="002963B1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kao njegovog sastavnog dijela, prati njegovo ostvarivanje, raspravlja i odlučuje o stručnim pitanjima</w:t>
      </w:r>
      <w:r w:rsidR="002963B1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rada, potiče i promiče stručni rad te obavlja i druge stručne poslove utvrđene poslove utvrđene</w:t>
      </w:r>
      <w:r w:rsidR="002963B1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Zakonom, aktom o osnivanju i Statutom Dječjeg vrtića.</w:t>
      </w:r>
    </w:p>
    <w:p w14:paraId="7F3EFEC2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Djelokrug i način rada Odgojiteljskog vijeća pobliže se određuju Statutom Dječjeg vrtića.</w:t>
      </w:r>
    </w:p>
    <w:p w14:paraId="2EC0469F" w14:textId="77777777" w:rsidR="001A3418" w:rsidRDefault="001A3418" w:rsidP="002963B1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2963B1">
        <w:rPr>
          <w:rFonts w:ascii="Arial" w:hAnsi="Arial" w:cs="Arial"/>
          <w:b/>
          <w:bCs/>
        </w:rPr>
        <w:t>Članak 8.</w:t>
      </w:r>
    </w:p>
    <w:p w14:paraId="5AC2CEC4" w14:textId="77777777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Ravnatelj je poslovodni i stručni voditelj Dječjeg vrtića.</w:t>
      </w:r>
    </w:p>
    <w:p w14:paraId="0962B6F1" w14:textId="77777777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Za ravnatelja dječjeg vrtića može biti imenovana osoba koja ispunjava sljedeće uvjete:</w:t>
      </w:r>
    </w:p>
    <w:p w14:paraId="43D12FAA" w14:textId="77777777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–</w:t>
      </w:r>
      <w:r w:rsidRPr="00CA0C7D">
        <w:rPr>
          <w:rFonts w:ascii="Arial" w:hAnsi="Arial" w:cs="Arial"/>
        </w:rPr>
        <w:tab/>
        <w:t>završen studij odgovarajuće vrste za rad na radnome mjestu odgojitelja ili stručnog suradnika u dječjem vrtiću, a koji može biti:</w:t>
      </w:r>
    </w:p>
    <w:p w14:paraId="6698212B" w14:textId="77777777" w:rsidR="00CA0C7D" w:rsidRPr="00CA0C7D" w:rsidRDefault="00CA0C7D" w:rsidP="00CA0C7D">
      <w:pPr>
        <w:spacing w:after="0" w:line="276" w:lineRule="auto"/>
        <w:ind w:left="708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a)</w:t>
      </w:r>
      <w:r w:rsidRPr="00CA0C7D">
        <w:rPr>
          <w:rFonts w:ascii="Arial" w:hAnsi="Arial" w:cs="Arial"/>
        </w:rPr>
        <w:tab/>
        <w:t>sveučilišni diplomski studij ili</w:t>
      </w:r>
    </w:p>
    <w:p w14:paraId="753D5CD6" w14:textId="77777777" w:rsidR="00CA0C7D" w:rsidRPr="00CA0C7D" w:rsidRDefault="00CA0C7D" w:rsidP="00CA0C7D">
      <w:pPr>
        <w:spacing w:after="0" w:line="276" w:lineRule="auto"/>
        <w:ind w:left="708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b)</w:t>
      </w:r>
      <w:r w:rsidRPr="00CA0C7D">
        <w:rPr>
          <w:rFonts w:ascii="Arial" w:hAnsi="Arial" w:cs="Arial"/>
        </w:rPr>
        <w:tab/>
        <w:t>integrirani preddiplomski i diplomski sveučilišni studij ili</w:t>
      </w:r>
    </w:p>
    <w:p w14:paraId="4E1F855D" w14:textId="77777777" w:rsidR="00CA0C7D" w:rsidRPr="00CA0C7D" w:rsidRDefault="00CA0C7D" w:rsidP="00CA0C7D">
      <w:pPr>
        <w:spacing w:after="0" w:line="276" w:lineRule="auto"/>
        <w:ind w:left="708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c)</w:t>
      </w:r>
      <w:r w:rsidRPr="00CA0C7D">
        <w:rPr>
          <w:rFonts w:ascii="Arial" w:hAnsi="Arial" w:cs="Arial"/>
        </w:rPr>
        <w:tab/>
        <w:t>specijalistički diplomski stručni studij ili</w:t>
      </w:r>
    </w:p>
    <w:p w14:paraId="2A4C11EF" w14:textId="77777777" w:rsidR="00CA0C7D" w:rsidRPr="00CA0C7D" w:rsidRDefault="00CA0C7D" w:rsidP="00CA0C7D">
      <w:pPr>
        <w:spacing w:after="0" w:line="276" w:lineRule="auto"/>
        <w:ind w:left="708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d)</w:t>
      </w:r>
      <w:r w:rsidRPr="00CA0C7D">
        <w:rPr>
          <w:rFonts w:ascii="Arial" w:hAnsi="Arial" w:cs="Arial"/>
        </w:rPr>
        <w:tab/>
        <w:t>preddiplomski sveučilišni studij za odgojitelja ili</w:t>
      </w:r>
    </w:p>
    <w:p w14:paraId="4358CCCC" w14:textId="77777777" w:rsidR="00CA0C7D" w:rsidRPr="00CA0C7D" w:rsidRDefault="00CA0C7D" w:rsidP="00CA0C7D">
      <w:pPr>
        <w:spacing w:after="0" w:line="276" w:lineRule="auto"/>
        <w:ind w:left="708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e)</w:t>
      </w:r>
      <w:r w:rsidRPr="00CA0C7D">
        <w:rPr>
          <w:rFonts w:ascii="Arial" w:hAnsi="Arial" w:cs="Arial"/>
        </w:rPr>
        <w:tab/>
        <w:t>stručni studij odgovarajuće vrste, odnosno studij odgovarajuće vrste kojim je stečena viša stručna sprema odgojitelja u skladu s ranijim propisima,</w:t>
      </w:r>
    </w:p>
    <w:p w14:paraId="11C26935" w14:textId="77777777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–</w:t>
      </w:r>
      <w:r w:rsidRPr="00CA0C7D">
        <w:rPr>
          <w:rFonts w:ascii="Arial" w:hAnsi="Arial" w:cs="Arial"/>
        </w:rPr>
        <w:tab/>
        <w:t>položen stručni ispit za odgojitelja ili stručnog suradnika, osim ako nemaju obvezu polagati stručni ispit u skladu s člankom 56. Zakona o predškolskom odgoju i obrazovanju,</w:t>
      </w:r>
    </w:p>
    <w:p w14:paraId="6A4AD484" w14:textId="77777777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–</w:t>
      </w:r>
      <w:r w:rsidRPr="00CA0C7D">
        <w:rPr>
          <w:rFonts w:ascii="Arial" w:hAnsi="Arial" w:cs="Arial"/>
        </w:rPr>
        <w:tab/>
        <w:t>najmanje pet godina radnog iskustva u predškolskoj ustanovi na radnome mjestu odgojitelja ili stručnog suradnika.</w:t>
      </w:r>
    </w:p>
    <w:p w14:paraId="329C8FF4" w14:textId="77777777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 xml:space="preserve">Za ravnatelja dječjeg vrtića ne može biti imenova osoba za čiji rad u dječjem vrtiću postoje zapreke iz članka 25. Zakona o predškolskom odgoju i obrazovanju. </w:t>
      </w:r>
    </w:p>
    <w:p w14:paraId="55E66280" w14:textId="77777777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 xml:space="preserve">Ravnatelja imenuje i razrješava Osnivač na prijedlog Upravnog vijeće Dječjeg vrtića. </w:t>
      </w:r>
    </w:p>
    <w:p w14:paraId="5EDBC1BF" w14:textId="77777777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 xml:space="preserve">Ravnatelj ustanove imenuje se na temelju javnog natječaja koji raspisuje Upravno vijeće Dječjeg vrtića. Natječaj za imenovanje ravnatelja objavljuje se u ''Službenom glasniku Općine Jelenje'' i u ''Narodnim novinama''. </w:t>
      </w:r>
    </w:p>
    <w:p w14:paraId="2FA4B3AD" w14:textId="77777777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</w:p>
    <w:p w14:paraId="5C8DC4EB" w14:textId="77777777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 xml:space="preserve">Ravnatelj se imenuje na mandat od 5 godina. Ista osoba može biti ponovno imenovana. </w:t>
      </w:r>
    </w:p>
    <w:p w14:paraId="33D31851" w14:textId="77777777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 xml:space="preserve">Uz poslove utvrđene Zakonom o ustanovama ravnatelj: </w:t>
      </w:r>
    </w:p>
    <w:p w14:paraId="44589D36" w14:textId="77777777" w:rsidR="00CA0C7D" w:rsidRPr="00CA0C7D" w:rsidRDefault="00CA0C7D" w:rsidP="00CA0C7D">
      <w:pPr>
        <w:spacing w:after="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-</w:t>
      </w:r>
      <w:r w:rsidRPr="00CA0C7D">
        <w:rPr>
          <w:rFonts w:ascii="Arial" w:hAnsi="Arial" w:cs="Arial"/>
        </w:rPr>
        <w:tab/>
        <w:t>predlaže godišnji plan i program rada,</w:t>
      </w:r>
    </w:p>
    <w:p w14:paraId="16940CE4" w14:textId="77777777" w:rsidR="00CA0C7D" w:rsidRPr="00CA0C7D" w:rsidRDefault="00CA0C7D" w:rsidP="00CA0C7D">
      <w:pPr>
        <w:spacing w:after="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-</w:t>
      </w:r>
      <w:r w:rsidRPr="00CA0C7D">
        <w:rPr>
          <w:rFonts w:ascii="Arial" w:hAnsi="Arial" w:cs="Arial"/>
        </w:rPr>
        <w:tab/>
        <w:t>brine se za provođenje odluka upravnog vijeća, odgojiteljskog vijeća i drugih tijela,</w:t>
      </w:r>
    </w:p>
    <w:p w14:paraId="48BF4C5D" w14:textId="77777777" w:rsidR="00CA0C7D" w:rsidRPr="00CA0C7D" w:rsidRDefault="00CA0C7D" w:rsidP="00CA0C7D">
      <w:pPr>
        <w:spacing w:after="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-</w:t>
      </w:r>
      <w:r w:rsidRPr="00CA0C7D">
        <w:rPr>
          <w:rFonts w:ascii="Arial" w:hAnsi="Arial" w:cs="Arial"/>
        </w:rPr>
        <w:tab/>
        <w:t>obavlja druge poslove utvrđene aktom o osnivanju i statutom.</w:t>
      </w:r>
    </w:p>
    <w:p w14:paraId="1A8343E5" w14:textId="77777777" w:rsidR="001A3418" w:rsidRPr="00CC2AD9" w:rsidRDefault="001A3418" w:rsidP="00CC2AD9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CC2AD9">
        <w:rPr>
          <w:rFonts w:ascii="Arial" w:hAnsi="Arial" w:cs="Arial"/>
          <w:b/>
          <w:bCs/>
        </w:rPr>
        <w:t>Članak 10.</w:t>
      </w:r>
    </w:p>
    <w:p w14:paraId="724FDC08" w14:textId="469E76EA" w:rsidR="00CA0C7D" w:rsidRP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 xml:space="preserve">Do izbora i imenovanja ravnatelja Dječjeg vrtića sukladno Statutu i zakonu, privremenim ravnateljem imenuje se Martina Perhat, mag. iur., iz Rijeke, Kapitanovo 35, OIB: 63584205796. </w:t>
      </w:r>
    </w:p>
    <w:p w14:paraId="78D342C3" w14:textId="6F70B245" w:rsidR="00CA0C7D" w:rsidRDefault="00CA0C7D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CA0C7D">
        <w:rPr>
          <w:rFonts w:ascii="Arial" w:hAnsi="Arial" w:cs="Arial"/>
        </w:rPr>
        <w:t>Privremeni ravnatelj ovlašten je za vršenje pripremnih radnji i ostalih poslova u svezi osnivanja i poslovanja Dječjeg vrtića kao samostalne ustanove</w:t>
      </w:r>
      <w:r>
        <w:rPr>
          <w:rFonts w:ascii="Arial" w:hAnsi="Arial" w:cs="Arial"/>
        </w:rPr>
        <w:t>.</w:t>
      </w:r>
    </w:p>
    <w:p w14:paraId="24DB5350" w14:textId="344631EE" w:rsidR="0006231F" w:rsidRDefault="0006231F" w:rsidP="00CA0C7D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9F3D9C">
        <w:rPr>
          <w:rFonts w:ascii="Arial" w:hAnsi="Arial" w:cs="Arial"/>
        </w:rPr>
        <w:t>Privremeni ravnatelj ima pravo na naknadu za obavljanje poslova u visini koju odlukom određuje općinski načelnik.</w:t>
      </w:r>
    </w:p>
    <w:p w14:paraId="7AB6AF61" w14:textId="77777777" w:rsidR="001A3418" w:rsidRPr="006C23F5" w:rsidRDefault="001A3418" w:rsidP="006C23F5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6C23F5">
        <w:rPr>
          <w:rFonts w:ascii="Arial" w:hAnsi="Arial" w:cs="Arial"/>
          <w:b/>
          <w:bCs/>
        </w:rPr>
        <w:t>Članak 11.</w:t>
      </w:r>
    </w:p>
    <w:p w14:paraId="45B9F1F7" w14:textId="1C239FB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Na poslovima njege, odgoja i obrazovanja, socijalne i zdravstvene zaštite te skrbi o djeci u</w:t>
      </w:r>
      <w:r w:rsidR="006C23F5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Dječjem vrtiću rade odgojno-obrazovni radnici: odgojitelj i stručni suradnik: pedagog, psiholog,</w:t>
      </w:r>
      <w:r w:rsidR="006C23F5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logoped, edukacijski rehabilitator i socijalni pedagog te medicinska sestra kao zdravstvena voditeljica.</w:t>
      </w:r>
    </w:p>
    <w:p w14:paraId="39916259" w14:textId="7435119A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Odgojno-obrazovni radnici moraju imati odgovarajuću vrstu i razinu obrazovanja, položen stručni ispit</w:t>
      </w:r>
      <w:r w:rsidR="006C23F5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te utvrđenu zdravstvenu sposobnost za obavljanje poslova.</w:t>
      </w:r>
    </w:p>
    <w:p w14:paraId="7BAFDD3E" w14:textId="6B436D39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Osim odgojno- obrazovnih radnika iz stavka 1. ovog članka, u Dječjem vrtiću radit će i druge</w:t>
      </w:r>
      <w:r w:rsidR="006C23F5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osobe koje će obavljati administrativno-tehničke i pomoćne poslove, odnosno ostali radnici.</w:t>
      </w:r>
    </w:p>
    <w:p w14:paraId="2BB7864F" w14:textId="6FDC67DF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Potreban broj odgojno-obrazovnih radnika i ostalih radnika potrebnih za provođenje programa</w:t>
      </w:r>
      <w:r w:rsidR="006C23F5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Dječjeg vrtića, osigurati će se u skladu s mjerilima utvrđenim Državnim pedagoškim standardom</w:t>
      </w:r>
      <w:r w:rsidR="006C23F5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predškolskog odgoja i obrazovanja.</w:t>
      </w:r>
    </w:p>
    <w:p w14:paraId="65D2C1BD" w14:textId="3F76A125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Pravilnikom o unutarnjem ustrojstvu i načinu rada određuju se radna mjesta, stručni i drugi</w:t>
      </w:r>
      <w:r w:rsidR="006C23F5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uvjeti te broj izvršitelja za pojedino radno mjesto.</w:t>
      </w:r>
    </w:p>
    <w:p w14:paraId="615F50D7" w14:textId="77777777" w:rsidR="001A3418" w:rsidRPr="006C23F5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  <w:b/>
          <w:bCs/>
        </w:rPr>
      </w:pPr>
      <w:r w:rsidRPr="006C23F5">
        <w:rPr>
          <w:rFonts w:ascii="Arial" w:hAnsi="Arial" w:cs="Arial"/>
          <w:b/>
          <w:bCs/>
        </w:rPr>
        <w:t>IV. OPĆI AKTI DJEČJEG VRTIĆA</w:t>
      </w:r>
    </w:p>
    <w:p w14:paraId="20AD3880" w14:textId="77777777" w:rsidR="001A3418" w:rsidRPr="006C23F5" w:rsidRDefault="001A3418" w:rsidP="006C23F5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6C23F5">
        <w:rPr>
          <w:rFonts w:ascii="Arial" w:hAnsi="Arial" w:cs="Arial"/>
          <w:b/>
          <w:bCs/>
        </w:rPr>
        <w:t>Članak 12.</w:t>
      </w:r>
    </w:p>
    <w:p w14:paraId="305D4BA9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Dječji vrtić ima Statut i druge opće akte.</w:t>
      </w:r>
    </w:p>
    <w:p w14:paraId="28B29D56" w14:textId="41A1E702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Statutom Dječjeg vrtića pobliže se uređuju: ustrojstvo, ovlasti i način odlučivanja pojedinih</w:t>
      </w:r>
      <w:r w:rsidR="006C23F5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tijela, vrste i trajanje pojedinih programa, uvjeti i način davanja usluga, radno vrijeme Dječjeg vrtića,</w:t>
      </w:r>
      <w:r w:rsidR="006C23F5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javnost rada te druga pitanja važna za obavljanje djelatnosti i poslovanja Dječjeg vrtića.</w:t>
      </w:r>
    </w:p>
    <w:p w14:paraId="3A6FE75F" w14:textId="491A51A9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Pravilnikom o unutarnjem ustrojstvu i načinu rada Dječjeg vrtića pobliže se uređuje unutarnje</w:t>
      </w:r>
      <w:r w:rsidR="006C23F5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ustrojstvo te način obavljanja djelatnosti Dječjeg vrtića kao javne službe.</w:t>
      </w:r>
    </w:p>
    <w:p w14:paraId="4FED7EC4" w14:textId="662CB50D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Statut i Pravilnik o unutarnjem ustrojstvu Dječjeg vrtića kao javne službe donosi Upravno vijeće</w:t>
      </w:r>
      <w:r w:rsidR="006C23F5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uz prethodnu suglasnost Osnivača.</w:t>
      </w:r>
    </w:p>
    <w:p w14:paraId="652502F0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Dječji vrtić ima i druge opće akte u skladu sa zakonom i Statutom.</w:t>
      </w:r>
    </w:p>
    <w:p w14:paraId="57EE93F1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Druge opće akte donosi Upravno vijeće na način propisan Statutom.</w:t>
      </w:r>
    </w:p>
    <w:p w14:paraId="76AE6DD2" w14:textId="77777777" w:rsidR="001A3418" w:rsidRPr="006C23F5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  <w:b/>
          <w:bCs/>
        </w:rPr>
      </w:pPr>
      <w:r w:rsidRPr="006C23F5">
        <w:rPr>
          <w:rFonts w:ascii="Arial" w:hAnsi="Arial" w:cs="Arial"/>
          <w:b/>
          <w:bCs/>
        </w:rPr>
        <w:t>V. FINANCIRANJE I IMOVINA DJEČJEG VRTIĆA</w:t>
      </w:r>
    </w:p>
    <w:p w14:paraId="1CB8195C" w14:textId="77777777" w:rsidR="001A3418" w:rsidRPr="006C23F5" w:rsidRDefault="001A3418" w:rsidP="006C23F5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6C23F5">
        <w:rPr>
          <w:rFonts w:ascii="Arial" w:hAnsi="Arial" w:cs="Arial"/>
          <w:b/>
          <w:bCs/>
        </w:rPr>
        <w:t>Članak 13.</w:t>
      </w:r>
    </w:p>
    <w:p w14:paraId="5DB1B2DD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Za obavljanje djelatnosti Dječjeg vrtića sredstva se osiguravaju:</w:t>
      </w:r>
    </w:p>
    <w:p w14:paraId="0527BD54" w14:textId="1BD5B4CF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 xml:space="preserve">- </w:t>
      </w:r>
      <w:r w:rsidR="00CA0C7D">
        <w:rPr>
          <w:rFonts w:ascii="Arial" w:hAnsi="Arial" w:cs="Arial"/>
        </w:rPr>
        <w:t xml:space="preserve">iz sredstava </w:t>
      </w:r>
      <w:r w:rsidRPr="001A3418">
        <w:rPr>
          <w:rFonts w:ascii="Arial" w:hAnsi="Arial" w:cs="Arial"/>
        </w:rPr>
        <w:t>Osnivača,</w:t>
      </w:r>
    </w:p>
    <w:p w14:paraId="6096E85A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učešćem roditelja djece korisnika usluga,</w:t>
      </w:r>
    </w:p>
    <w:p w14:paraId="185C9E50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iz drugih zakonom dopuštenih izvora.</w:t>
      </w:r>
    </w:p>
    <w:p w14:paraId="34321FD5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Sredstva za osnivanje i početak rada Dječjeg vrtića osigurati će se u proračunu osnivača.</w:t>
      </w:r>
    </w:p>
    <w:p w14:paraId="01FBEDC6" w14:textId="77777777" w:rsidR="001A3418" w:rsidRPr="00275CEF" w:rsidRDefault="001A3418" w:rsidP="00275CEF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275CEF">
        <w:rPr>
          <w:rFonts w:ascii="Arial" w:hAnsi="Arial" w:cs="Arial"/>
          <w:b/>
          <w:bCs/>
        </w:rPr>
        <w:t>Članak 14.</w:t>
      </w:r>
    </w:p>
    <w:p w14:paraId="38DD6BAB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Dječji vrtić nema za cilj stvaranje dobiti već obavljanje djelatnosti odgoja i obrazovanja.</w:t>
      </w:r>
    </w:p>
    <w:p w14:paraId="2072A41F" w14:textId="3B4E2D0D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Eventualno ostvarenu dobit Dječji vrtić će koristiti isključivo za obavljanje i razvoj svoje</w:t>
      </w:r>
      <w:r w:rsidR="00275CEF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djelatnosti.</w:t>
      </w:r>
    </w:p>
    <w:p w14:paraId="690F0B75" w14:textId="77777777" w:rsidR="001A3418" w:rsidRPr="00275CEF" w:rsidRDefault="001A3418" w:rsidP="00275CEF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275CEF">
        <w:rPr>
          <w:rFonts w:ascii="Arial" w:hAnsi="Arial" w:cs="Arial"/>
          <w:b/>
          <w:bCs/>
        </w:rPr>
        <w:t>Članak 15.</w:t>
      </w:r>
    </w:p>
    <w:p w14:paraId="461C8D71" w14:textId="7C3F78AA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Sredstva za rad koja osigurava Osnivač te sredstva stečena pružanjem usluga ili sredstva</w:t>
      </w:r>
      <w:r w:rsidR="00275CEF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pribavljena iz drugih izvora čine imovinu Dječjeg vrtića.</w:t>
      </w:r>
    </w:p>
    <w:p w14:paraId="506AF66D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U slučaju da Dječji vrtić posluje s gubitkom Osnivač se obvezuje da će pokriti taj gubitak.</w:t>
      </w:r>
    </w:p>
    <w:p w14:paraId="327C98C1" w14:textId="77777777" w:rsidR="001A3418" w:rsidRPr="00275CEF" w:rsidRDefault="001A3418" w:rsidP="00275CEF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275CEF">
        <w:rPr>
          <w:rFonts w:ascii="Arial" w:hAnsi="Arial" w:cs="Arial"/>
          <w:b/>
          <w:bCs/>
        </w:rPr>
        <w:t>Članak 16.</w:t>
      </w:r>
    </w:p>
    <w:p w14:paraId="3023BF4E" w14:textId="1C0564C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U pravnom prometu Dječji vrtić odgovara cijelom svojom imovinom, a Osnivač odgovara</w:t>
      </w:r>
      <w:r w:rsidR="00275CEF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solidarno i neograničeno za obveze Dječjeg vrtića.</w:t>
      </w:r>
    </w:p>
    <w:p w14:paraId="666ECD67" w14:textId="77777777" w:rsidR="001A3418" w:rsidRPr="00275CEF" w:rsidRDefault="001A3418" w:rsidP="00275CEF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275CEF">
        <w:rPr>
          <w:rFonts w:ascii="Arial" w:hAnsi="Arial" w:cs="Arial"/>
          <w:b/>
          <w:bCs/>
        </w:rPr>
        <w:t>Članak 17.</w:t>
      </w:r>
    </w:p>
    <w:p w14:paraId="58FA9C90" w14:textId="652A1588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Osnivač će osigurati prostor i opremu za trajno obavljanje djelatnosti sukladno standardima i</w:t>
      </w:r>
      <w:r w:rsidR="00275CEF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normativima rada propisanim Državnim pedagoškim standardom predškolskog obrazovanja.</w:t>
      </w:r>
    </w:p>
    <w:p w14:paraId="21552F82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Prostor za obavljanje djelatnosti Dječjeg vrtića u vlasništvu je Osnivača.</w:t>
      </w:r>
    </w:p>
    <w:p w14:paraId="5C0C56FB" w14:textId="6B2BE5E2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 xml:space="preserve">Didaktičku opremu osigurava Osnivač iz </w:t>
      </w:r>
      <w:r w:rsidR="00CA0C7D">
        <w:rPr>
          <w:rFonts w:ascii="Arial" w:hAnsi="Arial" w:cs="Arial"/>
        </w:rPr>
        <w:t>Proračuna Općine</w:t>
      </w:r>
      <w:r w:rsidRPr="001A3418">
        <w:rPr>
          <w:rFonts w:ascii="Arial" w:hAnsi="Arial" w:cs="Arial"/>
        </w:rPr>
        <w:t>.</w:t>
      </w:r>
    </w:p>
    <w:p w14:paraId="6071C355" w14:textId="77777777" w:rsidR="001A3418" w:rsidRPr="00275CEF" w:rsidRDefault="001A3418" w:rsidP="00275CEF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275CEF">
        <w:rPr>
          <w:rFonts w:ascii="Arial" w:hAnsi="Arial" w:cs="Arial"/>
          <w:b/>
          <w:bCs/>
        </w:rPr>
        <w:t>Članak 18.</w:t>
      </w:r>
    </w:p>
    <w:p w14:paraId="0422F6D8" w14:textId="5C44239F" w:rsidR="0006231F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Ravnatelj može stjecati, opteretiti ili otuđiti nekretnine ili drugu imovinu</w:t>
      </w:r>
      <w:r w:rsidR="009F3D9C">
        <w:rPr>
          <w:rFonts w:ascii="Arial" w:hAnsi="Arial" w:cs="Arial"/>
        </w:rPr>
        <w:t>:</w:t>
      </w:r>
    </w:p>
    <w:p w14:paraId="75C41DB3" w14:textId="4C6469A6" w:rsidR="001A3418" w:rsidRPr="009F3D9C" w:rsidRDefault="0006231F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9F3D9C">
        <w:rPr>
          <w:rFonts w:ascii="Arial" w:hAnsi="Arial" w:cs="Arial"/>
        </w:rPr>
        <w:t>-</w:t>
      </w:r>
      <w:r w:rsidR="001A3418" w:rsidRPr="009F3D9C">
        <w:rPr>
          <w:rFonts w:ascii="Arial" w:hAnsi="Arial" w:cs="Arial"/>
        </w:rPr>
        <w:t xml:space="preserve"> bez suglasnosti</w:t>
      </w:r>
      <w:r w:rsidR="00275CEF" w:rsidRPr="009F3D9C">
        <w:rPr>
          <w:rFonts w:ascii="Arial" w:hAnsi="Arial" w:cs="Arial"/>
        </w:rPr>
        <w:t xml:space="preserve"> </w:t>
      </w:r>
      <w:r w:rsidR="001A3418" w:rsidRPr="009F3D9C">
        <w:rPr>
          <w:rFonts w:ascii="Arial" w:hAnsi="Arial" w:cs="Arial"/>
        </w:rPr>
        <w:t xml:space="preserve">Upravnog vijeća u vrijednosti do </w:t>
      </w:r>
      <w:r w:rsidRPr="009F3D9C">
        <w:rPr>
          <w:rFonts w:ascii="Arial" w:hAnsi="Arial" w:cs="Arial"/>
        </w:rPr>
        <w:t>3.000,00 eura.</w:t>
      </w:r>
    </w:p>
    <w:p w14:paraId="42BF3226" w14:textId="3FF605AA" w:rsidR="001A3418" w:rsidRPr="009F3D9C" w:rsidRDefault="0006231F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9F3D9C">
        <w:rPr>
          <w:rFonts w:ascii="Arial" w:hAnsi="Arial" w:cs="Arial"/>
        </w:rPr>
        <w:t xml:space="preserve">- uz prethodnu suglasnost </w:t>
      </w:r>
      <w:r w:rsidR="001A3418" w:rsidRPr="009F3D9C">
        <w:rPr>
          <w:rFonts w:ascii="Arial" w:hAnsi="Arial" w:cs="Arial"/>
        </w:rPr>
        <w:t>Upravno</w:t>
      </w:r>
      <w:r w:rsidRPr="009F3D9C">
        <w:rPr>
          <w:rFonts w:ascii="Arial" w:hAnsi="Arial" w:cs="Arial"/>
        </w:rPr>
        <w:t>g</w:t>
      </w:r>
      <w:r w:rsidR="001A3418" w:rsidRPr="009F3D9C">
        <w:rPr>
          <w:rFonts w:ascii="Arial" w:hAnsi="Arial" w:cs="Arial"/>
        </w:rPr>
        <w:t xml:space="preserve"> vijeć</w:t>
      </w:r>
      <w:r w:rsidRPr="009F3D9C">
        <w:rPr>
          <w:rFonts w:ascii="Arial" w:hAnsi="Arial" w:cs="Arial"/>
        </w:rPr>
        <w:t>a</w:t>
      </w:r>
      <w:r w:rsidR="001A3418" w:rsidRPr="009F3D9C">
        <w:rPr>
          <w:rFonts w:ascii="Arial" w:hAnsi="Arial" w:cs="Arial"/>
        </w:rPr>
        <w:t xml:space="preserve"> u vrijednosti </w:t>
      </w:r>
      <w:r w:rsidRPr="009F3D9C">
        <w:rPr>
          <w:rFonts w:ascii="Arial" w:hAnsi="Arial" w:cs="Arial"/>
        </w:rPr>
        <w:t xml:space="preserve">od 3.001,00 </w:t>
      </w:r>
      <w:r w:rsidR="001A3418" w:rsidRPr="009F3D9C">
        <w:rPr>
          <w:rFonts w:ascii="Arial" w:hAnsi="Arial" w:cs="Arial"/>
        </w:rPr>
        <w:t xml:space="preserve">do </w:t>
      </w:r>
      <w:r w:rsidR="009F3D9C" w:rsidRPr="009F3D9C">
        <w:rPr>
          <w:rFonts w:ascii="Arial" w:hAnsi="Arial" w:cs="Arial"/>
        </w:rPr>
        <w:t xml:space="preserve">5.000,00 </w:t>
      </w:r>
      <w:r w:rsidR="001A3418" w:rsidRPr="009F3D9C">
        <w:rPr>
          <w:rFonts w:ascii="Arial" w:hAnsi="Arial" w:cs="Arial"/>
        </w:rPr>
        <w:t>eura.</w:t>
      </w:r>
    </w:p>
    <w:p w14:paraId="10E53D19" w14:textId="3D1774F0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9F3D9C">
        <w:rPr>
          <w:rFonts w:ascii="Arial" w:hAnsi="Arial" w:cs="Arial"/>
        </w:rPr>
        <w:t>Za stjecanje, opterećivanje ili otuđivanje nekretnina i druge imovine u vrijednosti većoj od</w:t>
      </w:r>
      <w:r w:rsidR="00275CEF" w:rsidRPr="009F3D9C">
        <w:rPr>
          <w:rFonts w:ascii="Arial" w:hAnsi="Arial" w:cs="Arial"/>
        </w:rPr>
        <w:t xml:space="preserve"> </w:t>
      </w:r>
      <w:r w:rsidRPr="009F3D9C">
        <w:rPr>
          <w:rFonts w:ascii="Arial" w:hAnsi="Arial" w:cs="Arial"/>
        </w:rPr>
        <w:t>iznosa iz stavka 2. ovog članka potrebna je suglasnost</w:t>
      </w:r>
      <w:r w:rsidR="0006231F" w:rsidRPr="009F3D9C">
        <w:rPr>
          <w:rFonts w:ascii="Arial" w:hAnsi="Arial" w:cs="Arial"/>
        </w:rPr>
        <w:t xml:space="preserve"> </w:t>
      </w:r>
      <w:r w:rsidRPr="009F3D9C">
        <w:rPr>
          <w:rFonts w:ascii="Arial" w:hAnsi="Arial" w:cs="Arial"/>
        </w:rPr>
        <w:t>Osnivača.</w:t>
      </w:r>
    </w:p>
    <w:p w14:paraId="45659F4E" w14:textId="77777777" w:rsidR="001A3418" w:rsidRPr="006F0A16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  <w:b/>
          <w:bCs/>
        </w:rPr>
      </w:pPr>
      <w:r w:rsidRPr="006F0A16">
        <w:rPr>
          <w:rFonts w:ascii="Arial" w:hAnsi="Arial" w:cs="Arial"/>
          <w:b/>
          <w:bCs/>
        </w:rPr>
        <w:t>VI. MEĐUSOBNA PRAVA I OBVEZE OSNIVAČA I DJEČJEG VRTIĆA</w:t>
      </w:r>
    </w:p>
    <w:p w14:paraId="669D4827" w14:textId="77777777" w:rsidR="001A3418" w:rsidRPr="006F0A16" w:rsidRDefault="001A3418" w:rsidP="006F0A16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6F0A16">
        <w:rPr>
          <w:rFonts w:ascii="Arial" w:hAnsi="Arial" w:cs="Arial"/>
          <w:b/>
          <w:bCs/>
        </w:rPr>
        <w:t>Članak 19.</w:t>
      </w:r>
    </w:p>
    <w:p w14:paraId="3AE5F1AF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Obveze Dječjeg vrtića su:</w:t>
      </w:r>
    </w:p>
    <w:p w14:paraId="2275A789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obavljati djelatnost za koju je osnovan,</w:t>
      </w:r>
    </w:p>
    <w:p w14:paraId="16A8E7E6" w14:textId="4B00E858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 xml:space="preserve">- </w:t>
      </w:r>
      <w:r w:rsidR="0006231F">
        <w:rPr>
          <w:rFonts w:ascii="Arial" w:hAnsi="Arial" w:cs="Arial"/>
        </w:rPr>
        <w:t>najmanje jednom</w:t>
      </w:r>
      <w:r w:rsidRPr="001A3418">
        <w:rPr>
          <w:rFonts w:ascii="Arial" w:hAnsi="Arial" w:cs="Arial"/>
        </w:rPr>
        <w:t xml:space="preserve"> godišnje izvijestiti Osnivača o radu i poslovanju,</w:t>
      </w:r>
    </w:p>
    <w:p w14:paraId="68D50DB6" w14:textId="2B33756D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 xml:space="preserve">- </w:t>
      </w:r>
      <w:r w:rsidR="0006231F">
        <w:rPr>
          <w:rFonts w:ascii="Arial" w:hAnsi="Arial" w:cs="Arial"/>
        </w:rPr>
        <w:t>vršiti</w:t>
      </w:r>
      <w:r w:rsidRPr="001A3418">
        <w:rPr>
          <w:rFonts w:ascii="Arial" w:hAnsi="Arial" w:cs="Arial"/>
        </w:rPr>
        <w:t xml:space="preserve"> upis djece u Dječji vrtić,</w:t>
      </w:r>
    </w:p>
    <w:p w14:paraId="3DD6D74B" w14:textId="3F5EFF3F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 xml:space="preserve">- </w:t>
      </w:r>
      <w:r w:rsidR="0006231F">
        <w:rPr>
          <w:rFonts w:ascii="Arial" w:hAnsi="Arial" w:cs="Arial"/>
        </w:rPr>
        <w:t xml:space="preserve">pravovremeno </w:t>
      </w:r>
      <w:r w:rsidRPr="001A3418">
        <w:rPr>
          <w:rFonts w:ascii="Arial" w:hAnsi="Arial" w:cs="Arial"/>
        </w:rPr>
        <w:t>izvršavati obveze koje ima prema Zakonu, općim aktima i odlukama Osnivača.</w:t>
      </w:r>
    </w:p>
    <w:p w14:paraId="760E233F" w14:textId="77777777" w:rsidR="001A3418" w:rsidRPr="006F0A16" w:rsidRDefault="001A3418" w:rsidP="006F0A16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6F0A16">
        <w:rPr>
          <w:rFonts w:ascii="Arial" w:hAnsi="Arial" w:cs="Arial"/>
          <w:b/>
          <w:bCs/>
        </w:rPr>
        <w:t>Članak. 20.</w:t>
      </w:r>
    </w:p>
    <w:p w14:paraId="176B2146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Obveze Osnivača su:</w:t>
      </w:r>
    </w:p>
    <w:p w14:paraId="03E837CD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redovito osiguravati financijska sredstva za rad Dječjeg vrtića,</w:t>
      </w:r>
    </w:p>
    <w:p w14:paraId="7EB15DE1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- pružati stručnu i drugu potrebnu pomoć u vezi s poslovanjem Dječjeg vrtića</w:t>
      </w:r>
    </w:p>
    <w:p w14:paraId="756B7998" w14:textId="77777777" w:rsidR="001A3418" w:rsidRPr="006B22FE" w:rsidRDefault="001A3418" w:rsidP="006B22FE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6B22FE">
        <w:rPr>
          <w:rFonts w:ascii="Arial" w:hAnsi="Arial" w:cs="Arial"/>
          <w:b/>
          <w:bCs/>
        </w:rPr>
        <w:t>Članak 21.</w:t>
      </w:r>
    </w:p>
    <w:p w14:paraId="174C0DC3" w14:textId="607FA49E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Na međusobna prava i obveze Osnivača i Dječjeg vrtića koja nisu uređena ovom Odlukom</w:t>
      </w:r>
      <w:r w:rsidR="006B22FE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primjenjuju se odredbe Zakona o ustanovama i Zakona o predškolskom odgoju i obrazovanju.</w:t>
      </w:r>
    </w:p>
    <w:p w14:paraId="5BB89E32" w14:textId="77777777" w:rsidR="001A3418" w:rsidRPr="006B22FE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  <w:b/>
          <w:bCs/>
        </w:rPr>
      </w:pPr>
      <w:r w:rsidRPr="006B22FE">
        <w:rPr>
          <w:rFonts w:ascii="Arial" w:hAnsi="Arial" w:cs="Arial"/>
          <w:b/>
          <w:bCs/>
        </w:rPr>
        <w:t>VII. OSNIVANJE, POČETAK RADA I PRESTANAK RADA DJEČJEG VRTIĆA</w:t>
      </w:r>
    </w:p>
    <w:p w14:paraId="5499D262" w14:textId="77777777" w:rsidR="001A3418" w:rsidRPr="006B22FE" w:rsidRDefault="001A3418" w:rsidP="006B22FE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6B22FE">
        <w:rPr>
          <w:rFonts w:ascii="Arial" w:hAnsi="Arial" w:cs="Arial"/>
          <w:b/>
          <w:bCs/>
        </w:rPr>
        <w:t>Članak 22.</w:t>
      </w:r>
    </w:p>
    <w:p w14:paraId="2C28DADC" w14:textId="77777777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Dječji vrtić osniva se na neodređeno vrijeme.</w:t>
      </w:r>
    </w:p>
    <w:p w14:paraId="4186F0C6" w14:textId="3FDBE2E4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Dječji vrtić počinje s radom stjecanjem uvjeta za osnivanje i početak rada, te upisom u sudski</w:t>
      </w:r>
      <w:r w:rsidR="006B22FE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registar ustanova, u skladu sa zakonom.</w:t>
      </w:r>
    </w:p>
    <w:p w14:paraId="70CFA8E1" w14:textId="77777777" w:rsidR="001A3418" w:rsidRPr="006B22FE" w:rsidRDefault="001A3418" w:rsidP="006B22FE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6B22FE">
        <w:rPr>
          <w:rFonts w:ascii="Arial" w:hAnsi="Arial" w:cs="Arial"/>
          <w:b/>
          <w:bCs/>
        </w:rPr>
        <w:t>Članak 23.</w:t>
      </w:r>
    </w:p>
    <w:p w14:paraId="21C89082" w14:textId="0F7C1ED6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Dječji vrtić može prestati s radom pod uvjetima i na način propisan Zakonom o ustanovama i</w:t>
      </w:r>
      <w:r w:rsidR="006B22FE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Zakonom o predškolskom odgoju i obrazovanju.</w:t>
      </w:r>
    </w:p>
    <w:p w14:paraId="265C8D51" w14:textId="77777777" w:rsidR="001A3418" w:rsidRPr="006B22FE" w:rsidRDefault="001A3418" w:rsidP="006B22FE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6B22FE">
        <w:rPr>
          <w:rFonts w:ascii="Arial" w:hAnsi="Arial" w:cs="Arial"/>
          <w:b/>
          <w:bCs/>
        </w:rPr>
        <w:t>Članak 24.</w:t>
      </w:r>
    </w:p>
    <w:p w14:paraId="49ED94E2" w14:textId="4DABC3F2" w:rsidR="001A3418" w:rsidRP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Riječi i pojmovni sklopovi koji imaju rodno značenje, bez obzira jesu li u odredbama ove Odluke</w:t>
      </w:r>
      <w:r w:rsidR="006B22FE">
        <w:rPr>
          <w:rFonts w:ascii="Arial" w:hAnsi="Arial" w:cs="Arial"/>
        </w:rPr>
        <w:t xml:space="preserve"> </w:t>
      </w:r>
      <w:r w:rsidRPr="001A3418">
        <w:rPr>
          <w:rFonts w:ascii="Arial" w:hAnsi="Arial" w:cs="Arial"/>
        </w:rPr>
        <w:t>korišteni u muškom ili ženskom rodu, odnose se na jednak način na muški i ženski rod.</w:t>
      </w:r>
    </w:p>
    <w:p w14:paraId="3A756CA8" w14:textId="77777777" w:rsidR="001A3418" w:rsidRPr="006B22FE" w:rsidRDefault="001A3418" w:rsidP="006B22FE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</w:rPr>
      </w:pPr>
      <w:r w:rsidRPr="006B22FE">
        <w:rPr>
          <w:rFonts w:ascii="Arial" w:hAnsi="Arial" w:cs="Arial"/>
          <w:b/>
          <w:bCs/>
        </w:rPr>
        <w:t>Članak 25.</w:t>
      </w:r>
    </w:p>
    <w:p w14:paraId="46466867" w14:textId="007106E4" w:rsidR="001A3418" w:rsidRDefault="001A3418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  <w:r w:rsidRPr="001A3418">
        <w:rPr>
          <w:rFonts w:ascii="Arial" w:hAnsi="Arial" w:cs="Arial"/>
        </w:rPr>
        <w:t>Ova Odluka stupa na snagu osmog dana od dana objave, a objavit će se u Službenim novinama</w:t>
      </w:r>
      <w:r w:rsidR="006B22FE">
        <w:rPr>
          <w:rFonts w:ascii="Arial" w:hAnsi="Arial" w:cs="Arial"/>
        </w:rPr>
        <w:t xml:space="preserve"> Općine Jelenje.</w:t>
      </w:r>
    </w:p>
    <w:p w14:paraId="6749AFA2" w14:textId="77777777" w:rsidR="0006231F" w:rsidRDefault="0006231F" w:rsidP="001A3418">
      <w:pPr>
        <w:spacing w:before="100" w:beforeAutospacing="1" w:after="120" w:line="276" w:lineRule="auto"/>
        <w:jc w:val="both"/>
        <w:rPr>
          <w:rFonts w:ascii="Arial" w:hAnsi="Arial" w:cs="Arial"/>
        </w:rPr>
      </w:pPr>
    </w:p>
    <w:p w14:paraId="65D78D16" w14:textId="3CD3F9A2" w:rsidR="0006231F" w:rsidRDefault="0006231F" w:rsidP="0006231F">
      <w:pPr>
        <w:spacing w:before="100" w:beforeAutospacing="1" w:after="12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PREDSJEDNICA OPĆINSKOG VIJEĆA</w:t>
      </w:r>
    </w:p>
    <w:p w14:paraId="00C1AED5" w14:textId="4D8DF153" w:rsidR="0006231F" w:rsidRDefault="0006231F" w:rsidP="0006231F">
      <w:pPr>
        <w:spacing w:before="100" w:beforeAutospacing="1" w:after="12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OPĆINE JELENJE</w:t>
      </w:r>
    </w:p>
    <w:p w14:paraId="3194EB96" w14:textId="5D5D88E9" w:rsidR="0006231F" w:rsidRDefault="0006231F" w:rsidP="0006231F">
      <w:pPr>
        <w:spacing w:before="100" w:beforeAutospacing="1" w:after="12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Izabela Nemaz</w:t>
      </w:r>
    </w:p>
    <w:p w14:paraId="53F75DF1" w14:textId="77777777" w:rsidR="004A187F" w:rsidRPr="004A187F" w:rsidRDefault="004A187F" w:rsidP="004A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4A187F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pict w14:anchorId="2CC3847F">
          <v:rect id="_x0000_i1025" style="width:0;height:1.5pt" o:hralign="center" o:hrstd="t" o:hr="t" fillcolor="#a0a0a0" stroked="f"/>
        </w:pict>
      </w:r>
    </w:p>
    <w:p w14:paraId="32E8F18D" w14:textId="44F2F9A1" w:rsidR="004A187F" w:rsidRPr="004A187F" w:rsidRDefault="004A187F" w:rsidP="004A187F">
      <w:pPr>
        <w:spacing w:before="100" w:beforeAutospacing="1" w:after="100" w:afterAutospacing="1" w:line="240" w:lineRule="auto"/>
        <w:jc w:val="both"/>
        <w:outlineLvl w:val="1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  <w:t>OBRAZLOŽENJE</w:t>
      </w:r>
      <w:r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  <w:t xml:space="preserve"> </w:t>
      </w:r>
      <w:r w:rsidRPr="004A187F"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  <w:t>PRIJEDLOGA ODLUKE O OSNIVANJU DJEČJEG VRTIĆA „JELENJSKI TIĆI“ PODHUM</w:t>
      </w:r>
    </w:p>
    <w:p w14:paraId="2D876F56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outlineLvl w:val="2"/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  <w:t>1. Razlozi donošenja Odluke</w:t>
      </w:r>
    </w:p>
    <w:p w14:paraId="3FC70A2A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Općina Jelenje, u skladu sa svojim zakonskim obvezama i strateškim ciljevima razvoja lokalne zajednice, ima dužnost osigurati dostupne, kvalitetne i kontinuirane programe predškolskog odgoja i obrazovanja za djecu rane i predškolske dobi na svom području.</w:t>
      </w:r>
    </w:p>
    <w:p w14:paraId="51DDB184" w14:textId="33A26150" w:rsidR="004A187F" w:rsidRPr="004A187F" w:rsidRDefault="004A187F" w:rsidP="004A187F">
      <w:p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Osnivanjem Dječjeg vrtića „Jelenjski tići“ Podhum osigurat će se:</w:t>
      </w:r>
    </w:p>
    <w:p w14:paraId="40F00100" w14:textId="77777777" w:rsidR="004A187F" w:rsidRPr="004A187F" w:rsidRDefault="004A187F" w:rsidP="004A18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veća dostupnost predškolskog odgoja djeci s područja Općine Jelenje,</w:t>
      </w:r>
    </w:p>
    <w:p w14:paraId="526333FE" w14:textId="77777777" w:rsidR="004A187F" w:rsidRPr="004A187F" w:rsidRDefault="004A187F" w:rsidP="004A18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stabilnost i kontinuitet u pružanju javne usluge predškolskog odgoja,</w:t>
      </w:r>
    </w:p>
    <w:p w14:paraId="42CE6CB1" w14:textId="77777777" w:rsidR="004A187F" w:rsidRPr="004A187F" w:rsidRDefault="004A187F" w:rsidP="004A18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bolja prilagodba programa potrebama djece i roditelja lokalne zajednice,</w:t>
      </w:r>
    </w:p>
    <w:p w14:paraId="042C9ED7" w14:textId="77777777" w:rsidR="004A187F" w:rsidRPr="004A187F" w:rsidRDefault="004A187F" w:rsidP="004A18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mogućnost razvoja dodatnih i posebnih programa u skladu sa zakonom i pedagoškim standardima.</w:t>
      </w:r>
    </w:p>
    <w:p w14:paraId="3ED65E18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Donošenjem ove Odluke Općina Jelenje preuzima aktivnu ulogu osnivača javne ustanove koja djeluje u interesu djece, roditelja i šire društvene zajednice.</w:t>
      </w:r>
    </w:p>
    <w:p w14:paraId="40E49D34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outlineLvl w:val="2"/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  <w:t>2. Pravna osnova za donošenje Odluke</w:t>
      </w:r>
    </w:p>
    <w:p w14:paraId="1D6FAF9B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Pravna osnova za donošenje ove Odluke sadržana je u:</w:t>
      </w:r>
    </w:p>
    <w:p w14:paraId="60B08D5F" w14:textId="77777777" w:rsidR="004A187F" w:rsidRPr="004A187F" w:rsidRDefault="004A187F" w:rsidP="004A18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Zakonu o ustanovama,</w:t>
      </w:r>
    </w:p>
    <w:p w14:paraId="702C5AF6" w14:textId="77777777" w:rsidR="004A187F" w:rsidRPr="004A187F" w:rsidRDefault="004A187F" w:rsidP="004A18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Zakonu o predškolskom odgoju i obrazovanju,</w:t>
      </w:r>
    </w:p>
    <w:p w14:paraId="70AA8D52" w14:textId="77777777" w:rsidR="004A187F" w:rsidRPr="004A187F" w:rsidRDefault="004A187F" w:rsidP="004A18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Statutu Općine Jelenje.</w:t>
      </w:r>
    </w:p>
    <w:p w14:paraId="59FC69AA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Navedeni propisi omogućuju jedinicama lokalne samouprave osnivanje javnih ustanova za obavljanje djelatnosti predškolskog odgoja i obrazovanja te uređuju njihovo ustrojstvo, upravljanje, financiranje i nadzor.</w:t>
      </w:r>
    </w:p>
    <w:p w14:paraId="436E87BC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outlineLvl w:val="2"/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  <w:t>3. Osnovna pitanja koja se uređuju Odlukom</w:t>
      </w:r>
    </w:p>
    <w:p w14:paraId="0259FD22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Odlukom o osnivanju Dječjeg vrtića „Jelenjski tići“ Podhum uređuju se osobito:</w:t>
      </w:r>
    </w:p>
    <w:p w14:paraId="5150BFEA" w14:textId="77777777" w:rsidR="004A187F" w:rsidRPr="004A187F" w:rsidRDefault="004A187F" w:rsidP="004A18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osnivanje i naziv dječjeg vrtića te njegovo sjedište,</w:t>
      </w:r>
    </w:p>
    <w:p w14:paraId="21DF678D" w14:textId="77777777" w:rsidR="004A187F" w:rsidRPr="004A187F" w:rsidRDefault="004A187F" w:rsidP="004A18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djelatnost dječjeg vrtića i vrste programa koji će se provoditi,</w:t>
      </w:r>
    </w:p>
    <w:p w14:paraId="12945A27" w14:textId="77777777" w:rsidR="004A187F" w:rsidRPr="004A187F" w:rsidRDefault="004A187F" w:rsidP="004A18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upravljanje dječjim vrtićem putem Upravnog vijeća, Odgojiteljskog vijeća i ravnatelja,</w:t>
      </w:r>
    </w:p>
    <w:p w14:paraId="60533A0C" w14:textId="77777777" w:rsidR="004A187F" w:rsidRPr="004A187F" w:rsidRDefault="004A187F" w:rsidP="004A18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uvjeti za imenovanje ravnatelja i privremenog ravnatelja radi provedbe pripremnih radnji,</w:t>
      </w:r>
    </w:p>
    <w:p w14:paraId="73E6BAD1" w14:textId="77777777" w:rsidR="004A187F" w:rsidRPr="004A187F" w:rsidRDefault="004A187F" w:rsidP="004A18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vrste i struktura zaposlenika potrebnih za rad dječjeg vrtića,</w:t>
      </w:r>
    </w:p>
    <w:p w14:paraId="7599E9AB" w14:textId="77777777" w:rsidR="004A187F" w:rsidRPr="004A187F" w:rsidRDefault="004A187F" w:rsidP="004A18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donošenje općih akata dječjeg vrtića,</w:t>
      </w:r>
    </w:p>
    <w:p w14:paraId="2CA64E2B" w14:textId="77777777" w:rsidR="004A187F" w:rsidRPr="004A187F" w:rsidRDefault="004A187F" w:rsidP="004A18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način financiranja i upravljanje imovinom,</w:t>
      </w:r>
    </w:p>
    <w:p w14:paraId="031183A5" w14:textId="77777777" w:rsidR="004A187F" w:rsidRPr="004A187F" w:rsidRDefault="004A187F" w:rsidP="004A18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međusobna prava i obveze osnivača i dječjeg vrtića,</w:t>
      </w:r>
    </w:p>
    <w:p w14:paraId="51F3F103" w14:textId="77777777" w:rsidR="004A187F" w:rsidRPr="004A187F" w:rsidRDefault="004A187F" w:rsidP="004A18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uvjeti osnivanja, početka rada i prestanka rada dječjeg vrtića.</w:t>
      </w:r>
    </w:p>
    <w:p w14:paraId="1671D00B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outlineLvl w:val="2"/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  <w:t>4. Financijska sredstva potrebna za provedbu Odluke</w:t>
      </w:r>
    </w:p>
    <w:p w14:paraId="2746F935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Sredstva za osnivanje i početak rada Dječjeg vrtića osigurat će se u Proračunu Općine Jelenje. Redovno financiranje rada dječjeg vrtića osiguravat će se iz:</w:t>
      </w:r>
    </w:p>
    <w:p w14:paraId="68D33D78" w14:textId="77777777" w:rsidR="004A187F" w:rsidRPr="004A187F" w:rsidRDefault="004A187F" w:rsidP="004A18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sredstava osnivača,</w:t>
      </w:r>
    </w:p>
    <w:p w14:paraId="0AEA0EEC" w14:textId="77777777" w:rsidR="004A187F" w:rsidRPr="004A187F" w:rsidRDefault="004A187F" w:rsidP="004A18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učešća roditelja u cijeni programa,</w:t>
      </w:r>
    </w:p>
    <w:p w14:paraId="504B1D8B" w14:textId="77777777" w:rsidR="004A187F" w:rsidRPr="004A187F" w:rsidRDefault="004A187F" w:rsidP="004A18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drugih zakonom dopuštenih izvora.</w:t>
      </w:r>
    </w:p>
    <w:p w14:paraId="6CB944F8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Dječji vrtić ne osniva se radi ostvarivanja dobiti, već radi obavljanja javne službe, a eventualna dobit koristit će se isključivo za unapređenje djelatnosti.</w:t>
      </w:r>
    </w:p>
    <w:p w14:paraId="1A97D861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outlineLvl w:val="2"/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  <w:t>5. Razlozi za provođenje savjetovanja s javnošću</w:t>
      </w:r>
    </w:p>
    <w:p w14:paraId="4E54C57F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Sukladno Zakonu o pravu na pristup informacijama, ovaj prijedlog Odluke upućuje se na savjetovanje s javnošću kako bi se:</w:t>
      </w:r>
    </w:p>
    <w:p w14:paraId="2529852F" w14:textId="77777777" w:rsidR="004A187F" w:rsidRPr="004A187F" w:rsidRDefault="004A187F" w:rsidP="004A18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omogućilo građanima, roditeljima i zainteresiranoj javnosti da se upoznaju s planiranim osnivanjem dječjeg vrtića,</w:t>
      </w:r>
    </w:p>
    <w:p w14:paraId="44E73311" w14:textId="77777777" w:rsidR="004A187F" w:rsidRPr="004A187F" w:rsidRDefault="004A187F" w:rsidP="004A18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prikupila mišljenja, prijedlozi i eventualne primjedbe,</w:t>
      </w:r>
    </w:p>
    <w:p w14:paraId="749EE897" w14:textId="77777777" w:rsidR="004A187F" w:rsidRPr="004A187F" w:rsidRDefault="004A187F" w:rsidP="004A18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osigurala transparentnost u donošenju odluka od posebnog značaja za lokalnu zajednicu.</w:t>
      </w:r>
    </w:p>
    <w:p w14:paraId="0F4DEBC2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Provedbom savjetovanja s javnošću dodatno se jača povjerenje građana u rad Općine Jelenje i omogućuje uključivanje javnosti u proces donošenja odluka.</w:t>
      </w:r>
    </w:p>
    <w:p w14:paraId="3B5A318A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outlineLvl w:val="2"/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b/>
          <w:bCs/>
          <w:sz w:val="20"/>
          <w:szCs w:val="20"/>
          <w:lang w:eastAsia="hr-HR"/>
          <w14:ligatures w14:val="none"/>
        </w:rPr>
        <w:t>6. Zaključak</w:t>
      </w:r>
    </w:p>
    <w:p w14:paraId="0E2B6097" w14:textId="77777777" w:rsidR="004A187F" w:rsidRPr="004A187F" w:rsidRDefault="004A187F" w:rsidP="004A187F">
      <w:pPr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t>Donošenje Odluke o osnivanju Dječjeg vrtića „Jelenjski tići“ Podhum predstavlja važan korak u unaprjeđenju sustava predškolskog odgoja i obrazovanja na području Općine Jelenje te doprinosi kvaliteti života djece i obitelji. Predloženom Odlukom stvaraju se pravni, organizacijski i financijski uvjeti za početak rada dječjeg vrtića kao javne ustanove u vlasništvu Općine Jelenje.</w:t>
      </w:r>
    </w:p>
    <w:p w14:paraId="31253216" w14:textId="77777777" w:rsidR="004A187F" w:rsidRPr="004A187F" w:rsidRDefault="004A187F" w:rsidP="004A187F">
      <w:pPr>
        <w:spacing w:after="0" w:line="240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</w:pPr>
      <w:r w:rsidRPr="004A187F">
        <w:rPr>
          <w:rFonts w:ascii="Arial Nova Light" w:eastAsia="Times New Roman" w:hAnsi="Arial Nova Light" w:cs="Times New Roman"/>
          <w:sz w:val="20"/>
          <w:szCs w:val="20"/>
          <w:lang w:eastAsia="hr-HR"/>
          <w14:ligatures w14:val="none"/>
        </w:rPr>
        <w:pict w14:anchorId="63BEB53B">
          <v:rect id="_x0000_i1026" style="width:0;height:1.5pt" o:hralign="center" o:hrstd="t" o:hr="t" fillcolor="#a0a0a0" stroked="f"/>
        </w:pict>
      </w:r>
    </w:p>
    <w:p w14:paraId="4876CB08" w14:textId="77777777" w:rsidR="004A187F" w:rsidRPr="004A187F" w:rsidRDefault="004A187F" w:rsidP="004A187F">
      <w:pPr>
        <w:spacing w:before="100" w:beforeAutospacing="1" w:after="120" w:line="276" w:lineRule="auto"/>
        <w:rPr>
          <w:rFonts w:ascii="Arial" w:hAnsi="Arial" w:cs="Arial"/>
          <w:b/>
          <w:bCs/>
        </w:rPr>
      </w:pPr>
    </w:p>
    <w:sectPr w:rsidR="004A187F" w:rsidRPr="004A187F" w:rsidSect="00B516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BEC"/>
    <w:multiLevelType w:val="multilevel"/>
    <w:tmpl w:val="6CC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D6C54"/>
    <w:multiLevelType w:val="multilevel"/>
    <w:tmpl w:val="4FF6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F4AB8"/>
    <w:multiLevelType w:val="multilevel"/>
    <w:tmpl w:val="690C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92BA6"/>
    <w:multiLevelType w:val="multilevel"/>
    <w:tmpl w:val="70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76257"/>
    <w:multiLevelType w:val="multilevel"/>
    <w:tmpl w:val="046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D4604"/>
    <w:multiLevelType w:val="multilevel"/>
    <w:tmpl w:val="7A1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820794">
    <w:abstractNumId w:val="0"/>
  </w:num>
  <w:num w:numId="2" w16cid:durableId="237179864">
    <w:abstractNumId w:val="3"/>
  </w:num>
  <w:num w:numId="3" w16cid:durableId="1349864548">
    <w:abstractNumId w:val="5"/>
  </w:num>
  <w:num w:numId="4" w16cid:durableId="1007094644">
    <w:abstractNumId w:val="4"/>
  </w:num>
  <w:num w:numId="5" w16cid:durableId="1260525833">
    <w:abstractNumId w:val="1"/>
  </w:num>
  <w:num w:numId="6" w16cid:durableId="109625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18"/>
    <w:rsid w:val="0006231F"/>
    <w:rsid w:val="000B41EA"/>
    <w:rsid w:val="001A3418"/>
    <w:rsid w:val="00275CEF"/>
    <w:rsid w:val="002963B1"/>
    <w:rsid w:val="004362A6"/>
    <w:rsid w:val="00491326"/>
    <w:rsid w:val="004A187F"/>
    <w:rsid w:val="006B22FE"/>
    <w:rsid w:val="006C23F5"/>
    <w:rsid w:val="006F0A16"/>
    <w:rsid w:val="00867724"/>
    <w:rsid w:val="00873E45"/>
    <w:rsid w:val="009F3D9C"/>
    <w:rsid w:val="00A51789"/>
    <w:rsid w:val="00AF59BB"/>
    <w:rsid w:val="00B516E7"/>
    <w:rsid w:val="00CA0C7D"/>
    <w:rsid w:val="00CC2AD9"/>
    <w:rsid w:val="00D5335A"/>
    <w:rsid w:val="00D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7A55"/>
  <w15:chartTrackingRefBased/>
  <w15:docId w15:val="{D54D1CEE-1574-484C-BFB7-E7A3105C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3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3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3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3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3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3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3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3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3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3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3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34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34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34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34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34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34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3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3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3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34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34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34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3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34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3418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49132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9132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9132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132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13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Martina Perhat</cp:lastModifiedBy>
  <cp:revision>4</cp:revision>
  <dcterms:created xsi:type="dcterms:W3CDTF">2026-02-09T14:51:00Z</dcterms:created>
  <dcterms:modified xsi:type="dcterms:W3CDTF">2026-02-09T15:01:00Z</dcterms:modified>
</cp:coreProperties>
</file>