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C3CE8" w14:textId="4FCEF809" w:rsidR="00317885" w:rsidRPr="00317885" w:rsidRDefault="00317885" w:rsidP="00317885">
      <w:pPr>
        <w:suppressAutoHyphens w:val="0"/>
        <w:spacing w:before="60" w:after="120"/>
        <w:jc w:val="both"/>
        <w:textAlignment w:val="auto"/>
        <w:rPr>
          <w:rFonts w:ascii="Arial" w:hAnsi="Arial" w:cs="Arial"/>
          <w:b/>
          <w:sz w:val="28"/>
          <w:szCs w:val="28"/>
        </w:rPr>
      </w:pPr>
      <w:r>
        <w:rPr>
          <w:rFonts w:ascii="Arial" w:hAnsi="Arial" w:cs="Arial"/>
          <w:b/>
          <w:sz w:val="28"/>
          <w:szCs w:val="28"/>
        </w:rPr>
        <w:t>7</w:t>
      </w:r>
      <w:r w:rsidRPr="00317885">
        <w:rPr>
          <w:rFonts w:ascii="Arial" w:hAnsi="Arial" w:cs="Arial"/>
          <w:b/>
          <w:sz w:val="28"/>
          <w:szCs w:val="28"/>
        </w:rPr>
        <w:t>.</w:t>
      </w:r>
    </w:p>
    <w:p w14:paraId="1217FD21" w14:textId="77777777" w:rsidR="00317885" w:rsidRDefault="00317885" w:rsidP="0067744B">
      <w:pPr>
        <w:suppressAutoHyphens w:val="0"/>
        <w:autoSpaceDN/>
        <w:spacing w:after="160"/>
        <w:jc w:val="both"/>
        <w:textAlignment w:val="auto"/>
        <w:rPr>
          <w:rFonts w:ascii="Arial" w:hAnsi="Arial" w:cs="Arial"/>
          <w:kern w:val="2"/>
          <w14:ligatures w14:val="standardContextual"/>
        </w:rPr>
      </w:pPr>
    </w:p>
    <w:p w14:paraId="52A5429D" w14:textId="45922165" w:rsidR="0067744B" w:rsidRDefault="00000000" w:rsidP="0067744B">
      <w:pPr>
        <w:suppressAutoHyphens w:val="0"/>
        <w:autoSpaceDN/>
        <w:spacing w:after="160"/>
        <w:jc w:val="both"/>
        <w:textAlignment w:val="auto"/>
        <w:rPr>
          <w:rFonts w:ascii="Arial" w:eastAsia="Arial" w:hAnsi="Arial" w:cs="Arial"/>
          <w:color w:val="000000"/>
          <w:kern w:val="2"/>
          <w:szCs w:val="24"/>
          <w:lang w:eastAsia="hr-HR"/>
          <w14:ligatures w14:val="standardContextual"/>
        </w:rPr>
      </w:pPr>
      <w:r w:rsidRPr="0067744B">
        <w:rPr>
          <w:rFonts w:ascii="Arial" w:hAnsi="Arial" w:cs="Arial"/>
          <w:kern w:val="2"/>
          <w14:ligatures w14:val="standardContextual"/>
        </w:rPr>
        <w:t xml:space="preserve">Na temelju članka 95. stavka 1. Zakona o komunalnom gospodarstvu ("Narodne novine" broj 68/18, 110/18, 32/20 i 145/24) i članka </w:t>
      </w:r>
      <w:r w:rsidRPr="0067744B">
        <w:rPr>
          <w:rFonts w:ascii="Arial" w:eastAsia="Arial" w:hAnsi="Arial" w:cs="Arial"/>
          <w:color w:val="000000"/>
          <w:kern w:val="2"/>
          <w:szCs w:val="24"/>
          <w:lang w:eastAsia="hr-HR"/>
          <w14:ligatures w14:val="standardContextual"/>
        </w:rPr>
        <w:t>33. stavka 1. točke 3. Statuta Općine Jelenje („Službene novine Općine Jelenje“ broj 59/23. i 82/25.) Općinsko vijeće Općine Jelenje na 4. sjednici održanoj 19. studenog 2025. godine, donosi</w:t>
      </w:r>
    </w:p>
    <w:p w14:paraId="28F95F99" w14:textId="77777777" w:rsidR="0067744B" w:rsidRPr="0067744B" w:rsidRDefault="0067744B" w:rsidP="0067744B">
      <w:pPr>
        <w:suppressAutoHyphens w:val="0"/>
        <w:autoSpaceDN/>
        <w:spacing w:after="160"/>
        <w:jc w:val="both"/>
        <w:textAlignment w:val="auto"/>
        <w:rPr>
          <w:rFonts w:ascii="Arial" w:eastAsia="Arial" w:hAnsi="Arial" w:cs="Arial"/>
          <w:color w:val="000000"/>
          <w:kern w:val="2"/>
          <w:szCs w:val="24"/>
          <w:lang w:eastAsia="hr-HR"/>
          <w14:ligatures w14:val="standardContextual"/>
        </w:rPr>
      </w:pPr>
    </w:p>
    <w:p w14:paraId="01D52CE7" w14:textId="77777777" w:rsidR="0067744B" w:rsidRPr="0067744B" w:rsidRDefault="00000000" w:rsidP="0067744B">
      <w:pPr>
        <w:suppressAutoHyphens w:val="0"/>
        <w:autoSpaceDN/>
        <w:spacing w:after="160"/>
        <w:jc w:val="center"/>
        <w:textAlignment w:val="auto"/>
        <w:rPr>
          <w:rFonts w:ascii="Arial" w:eastAsia="Arial" w:hAnsi="Arial" w:cs="Arial"/>
          <w:b/>
          <w:bCs/>
          <w:color w:val="000000"/>
          <w:kern w:val="2"/>
          <w:lang w:eastAsia="hr-HR"/>
          <w14:ligatures w14:val="standardContextual"/>
        </w:rPr>
      </w:pPr>
      <w:r w:rsidRPr="0067744B">
        <w:rPr>
          <w:rFonts w:ascii="Arial" w:eastAsia="Arial" w:hAnsi="Arial" w:cs="Arial"/>
          <w:b/>
          <w:bCs/>
          <w:color w:val="000000"/>
          <w:kern w:val="2"/>
          <w:lang w:eastAsia="hr-HR"/>
          <w14:ligatures w14:val="standardContextual"/>
        </w:rPr>
        <w:t>ODLUKU</w:t>
      </w:r>
    </w:p>
    <w:p w14:paraId="6A2855DC" w14:textId="77777777" w:rsidR="0067744B" w:rsidRPr="0067744B" w:rsidRDefault="00000000" w:rsidP="0067744B">
      <w:pPr>
        <w:suppressAutoHyphens w:val="0"/>
        <w:autoSpaceDN/>
        <w:spacing w:after="160"/>
        <w:jc w:val="center"/>
        <w:textAlignment w:val="auto"/>
        <w:rPr>
          <w:rFonts w:ascii="Arial" w:eastAsia="Arial" w:hAnsi="Arial" w:cs="Arial"/>
          <w:b/>
          <w:bCs/>
          <w:color w:val="000000"/>
          <w:kern w:val="2"/>
          <w:lang w:eastAsia="hr-HR"/>
          <w14:ligatures w14:val="standardContextual"/>
        </w:rPr>
      </w:pPr>
      <w:r w:rsidRPr="0067744B">
        <w:rPr>
          <w:rFonts w:ascii="Arial" w:eastAsia="Arial" w:hAnsi="Arial" w:cs="Arial"/>
          <w:b/>
          <w:bCs/>
          <w:color w:val="000000"/>
          <w:kern w:val="2"/>
          <w:lang w:eastAsia="hr-HR"/>
          <w14:ligatures w14:val="standardContextual"/>
        </w:rPr>
        <w:t>O KOMUNALNOJ NAKNADI</w:t>
      </w:r>
    </w:p>
    <w:p w14:paraId="2872BEC1" w14:textId="77777777" w:rsidR="0067744B" w:rsidRPr="0067744B" w:rsidRDefault="0067744B" w:rsidP="0067744B">
      <w:pPr>
        <w:suppressAutoHyphens w:val="0"/>
        <w:autoSpaceDN/>
        <w:spacing w:after="160"/>
        <w:jc w:val="center"/>
        <w:textAlignment w:val="auto"/>
        <w:rPr>
          <w:rFonts w:ascii="Arial" w:eastAsia="Arial" w:hAnsi="Arial" w:cs="Arial"/>
          <w:b/>
          <w:bCs/>
          <w:color w:val="000000"/>
          <w:kern w:val="2"/>
          <w:lang w:eastAsia="hr-HR"/>
          <w14:ligatures w14:val="standardContextual"/>
        </w:rPr>
      </w:pPr>
    </w:p>
    <w:p w14:paraId="550CB6D2" w14:textId="77777777" w:rsidR="0067744B" w:rsidRPr="0067744B" w:rsidRDefault="00000000" w:rsidP="0067744B">
      <w:pPr>
        <w:numPr>
          <w:ilvl w:val="0"/>
          <w:numId w:val="3"/>
        </w:numPr>
        <w:suppressAutoHyphens w:val="0"/>
        <w:autoSpaceDN/>
        <w:spacing w:after="160" w:line="271" w:lineRule="auto"/>
        <w:contextualSpacing/>
        <w:jc w:val="both"/>
        <w:textAlignment w:val="auto"/>
        <w:rPr>
          <w:rFonts w:ascii="Arial" w:hAnsi="Arial" w:cs="Arial"/>
          <w:b/>
          <w:bCs/>
          <w:kern w:val="2"/>
          <w14:ligatures w14:val="standardContextual"/>
        </w:rPr>
      </w:pPr>
      <w:r w:rsidRPr="0067744B">
        <w:rPr>
          <w:rFonts w:ascii="Arial" w:hAnsi="Arial" w:cs="Arial"/>
          <w:b/>
          <w:bCs/>
          <w:kern w:val="2"/>
          <w14:ligatures w14:val="standardContextual"/>
        </w:rPr>
        <w:t>OPĆE ODREDBE</w:t>
      </w:r>
    </w:p>
    <w:p w14:paraId="63CE85C8"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w:t>
      </w:r>
    </w:p>
    <w:p w14:paraId="04EF2E4A"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Ovom Odlukom propisuju se uvjeti, način i mjerila za plaćanje komunalne naknade na području općine Jelenje, koeficijenti zona (</w:t>
      </w:r>
      <w:proofErr w:type="spellStart"/>
      <w:r w:rsidRPr="0067744B">
        <w:rPr>
          <w:rFonts w:ascii="Arial" w:hAnsi="Arial" w:cs="Arial"/>
          <w:kern w:val="2"/>
          <w14:ligatures w14:val="standardContextual"/>
        </w:rPr>
        <w:t>Kz</w:t>
      </w:r>
      <w:proofErr w:type="spellEnd"/>
      <w:r w:rsidRPr="0067744B">
        <w:rPr>
          <w:rFonts w:ascii="Arial" w:hAnsi="Arial" w:cs="Arial"/>
          <w:kern w:val="2"/>
          <w14:ligatures w14:val="standardContextual"/>
        </w:rPr>
        <w:t>) za pojedine zone u Općini Jelenje u kojima se naplaćuje komunalna naknada, koeficijenti namjene (Kn) za nekretnine za koje se plaća komunalna naknada, rok i način plaćanja komunalne naknade, obveznik plaćanja komunalne naknade, obračun i utvrđivanje iznosa komunalne naknade, nekretnine važne za Općinu Jelenje koje se u potpunosti ili djelomično oslobađaju od plaćanja komunalne naknade, opći uvjeti i razlozi zbog kojih se u pojedinim slučajevima odobrava potpuno ili djelomično oslobađanje od plaćanja komunalne naknade te druga pitanja važna za utvrđivanje obveze plaćanja komunalne naknade.</w:t>
      </w:r>
    </w:p>
    <w:p w14:paraId="66CF7E2F"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2.</w:t>
      </w:r>
    </w:p>
    <w:p w14:paraId="4128BED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(1) Komunalna naknada je novčano javno davanje koje se plaća na cijelom području općine Jelenje i prihod je Proračuna Općine Jelenje. </w:t>
      </w:r>
    </w:p>
    <w:p w14:paraId="532E4247"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(2) Komunalna naknada je prihod koji se koristi za financiranje održavanja i građenja komunalne infrastrukture, a može se na temelju odluke Općinskog vijeća Općine Jelenje koristiti i za financiranje: </w:t>
      </w:r>
    </w:p>
    <w:p w14:paraId="30B18785"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1. građenja i održavanja objekata predškolskog, školskog, zdravstvenog i socijalnog sadržaja, javnih građevina sportske i kulturne namjene te </w:t>
      </w:r>
    </w:p>
    <w:p w14:paraId="25A8B81C"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poboljšanja energetske učinkovitosti zgrada u vlasništvu Općine Jelenje, ako se time ne dovodi u pitanje mogućnost održavanja i građenja komunalne infrastrukture.</w:t>
      </w:r>
    </w:p>
    <w:p w14:paraId="54ABC5E4"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5CD38CC0" w14:textId="77777777" w:rsidR="0067744B" w:rsidRPr="0067744B" w:rsidRDefault="00000000" w:rsidP="0067744B">
      <w:pPr>
        <w:numPr>
          <w:ilvl w:val="0"/>
          <w:numId w:val="3"/>
        </w:numPr>
        <w:suppressAutoHyphens w:val="0"/>
        <w:autoSpaceDN/>
        <w:spacing w:after="160" w:line="271" w:lineRule="auto"/>
        <w:contextualSpacing/>
        <w:jc w:val="both"/>
        <w:textAlignment w:val="auto"/>
        <w:rPr>
          <w:rFonts w:ascii="Arial" w:hAnsi="Arial" w:cs="Arial"/>
          <w:b/>
          <w:bCs/>
          <w:kern w:val="2"/>
          <w14:ligatures w14:val="standardContextual"/>
        </w:rPr>
      </w:pPr>
      <w:r w:rsidRPr="0067744B">
        <w:rPr>
          <w:rFonts w:ascii="Arial" w:hAnsi="Arial" w:cs="Arial"/>
          <w:b/>
          <w:bCs/>
          <w:kern w:val="2"/>
          <w14:ligatures w14:val="standardContextual"/>
        </w:rPr>
        <w:t>OBVEZNICI KOMUNALNE NAKNADE</w:t>
      </w:r>
    </w:p>
    <w:p w14:paraId="3ACB822F"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2C4E1626"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3.</w:t>
      </w:r>
    </w:p>
    <w:p w14:paraId="4AB477CF"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Na području općine Jelenje komunalna naknada plaća se za:</w:t>
      </w:r>
    </w:p>
    <w:p w14:paraId="08652F66"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stambeni prostor,</w:t>
      </w:r>
    </w:p>
    <w:p w14:paraId="2CD7FE7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lastRenderedPageBreak/>
        <w:t>2. garažni prostor,</w:t>
      </w:r>
    </w:p>
    <w:p w14:paraId="7549439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poslovni prostor,</w:t>
      </w:r>
    </w:p>
    <w:p w14:paraId="16B1D796"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građevinsko zemljište koje služi za obavljanje poslovne djelatnosti,</w:t>
      </w:r>
    </w:p>
    <w:p w14:paraId="3FA85B1A"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5. neizgrađeno građevinsko zemljište.</w:t>
      </w:r>
    </w:p>
    <w:p w14:paraId="38BBC47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Komunalna naknada plaća se za nekretnine iz stavka 1. ovoga članka koje se nalaze na području na kojem se najmanje obavljaju komunalne djelatnosti održavanja nerazvrstanih cesta i održavanja javne rasvjete te koje je opremljeno najmanje pristupnom cestom, niskonaponskom električnom mrežom i vodom prema mjesnim prilikama te čini sastavni dio infrastrukture Općine Jelenje.</w:t>
      </w:r>
    </w:p>
    <w:p w14:paraId="166D092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Građevinskim zemljištem koje služi obavljanju poslovne djelatnosti smatra se zemljište koje se nalazi unutar ili izvan granica građevinskog područja, a na kojemu se obavlja poslovna djelatnost.</w:t>
      </w:r>
    </w:p>
    <w:p w14:paraId="7004398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Neizgrađenim građevinskim zemljištem smatra se zemljište koje se nalazi unutar granica građevinskog područja na kojemu se u skladu s propisima kojima se uređuje prostorno uređenje i gradnja mogu graditi zgrade stambene ili poslovne namjene, a na kojemu nije izgrađena zgrada ili na kojemu postoji privremena građevina za čiju izgradnju nije potrebna građevinska dozvola. Neizgrađenim građevinskim zemljištem smatra se i zemljište na kojem se nalazi ruševina zgrade.</w:t>
      </w:r>
    </w:p>
    <w:p w14:paraId="6D1F4076"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4.</w:t>
      </w:r>
    </w:p>
    <w:p w14:paraId="62F8E20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Komunalnu naknadu plaća vlasnik odnosno korisnik nekretnine iz članka 3. stavka 1. ove Odluke.</w:t>
      </w:r>
    </w:p>
    <w:p w14:paraId="01042DCB"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Korisnik nekretnine plaća komunalnu naknadu:</w:t>
      </w:r>
    </w:p>
    <w:p w14:paraId="185D72E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ako je na njega obveza plaćanja te naknade prenesena pisanim ugovorom,</w:t>
      </w:r>
    </w:p>
    <w:p w14:paraId="540DDD9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ako nekretninu koristi bez pravne osnove ili</w:t>
      </w:r>
    </w:p>
    <w:p w14:paraId="32F9B3E5"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ako se ne može utvrditi vlasnik.</w:t>
      </w:r>
    </w:p>
    <w:p w14:paraId="30771A6E"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Vlasnik nekretnine solidarno jamči za plaćanje komunalne naknade ako je obveza te naknade prenesena na korisnika nekretnine pisanim ugovorom.</w:t>
      </w:r>
    </w:p>
    <w:p w14:paraId="643DB750" w14:textId="77777777" w:rsidR="0067744B" w:rsidRPr="0067744B" w:rsidRDefault="00000000" w:rsidP="0067744B">
      <w:pPr>
        <w:suppressAutoHyphens w:val="0"/>
        <w:autoSpaceDN/>
        <w:spacing w:after="160"/>
        <w:jc w:val="center"/>
        <w:textAlignment w:val="auto"/>
        <w:rPr>
          <w:rFonts w:ascii="Arial" w:hAnsi="Arial" w:cs="Arial"/>
          <w:kern w:val="2"/>
          <w14:ligatures w14:val="standardContextual"/>
        </w:rPr>
      </w:pPr>
      <w:r w:rsidRPr="0067744B">
        <w:rPr>
          <w:rFonts w:ascii="Arial" w:hAnsi="Arial" w:cs="Arial"/>
          <w:b/>
          <w:bCs/>
          <w:kern w:val="2"/>
          <w14:ligatures w14:val="standardContextual"/>
        </w:rPr>
        <w:t>Članak 5</w:t>
      </w:r>
      <w:r w:rsidRPr="0067744B">
        <w:rPr>
          <w:rFonts w:ascii="Arial" w:hAnsi="Arial" w:cs="Arial"/>
          <w:kern w:val="2"/>
          <w14:ligatures w14:val="standardContextual"/>
        </w:rPr>
        <w:t>.</w:t>
      </w:r>
    </w:p>
    <w:p w14:paraId="2EAE7199"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Obveza plaćanja komunalne naknade nastaje:</w:t>
      </w:r>
    </w:p>
    <w:p w14:paraId="7548C5E2"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danom izvršnosti uporabne dozvole odnosno danom početka korištenja nekretnine koja se koristi bez uporabne dozvole,</w:t>
      </w:r>
    </w:p>
    <w:p w14:paraId="03DC5E0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danom sklapanja ugovora kojim se stječe vlasništvo ili pravo korištenja nekretnine,</w:t>
      </w:r>
    </w:p>
    <w:p w14:paraId="380ED2E2"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danom pravomoćnosti odluke tijela javne vlasti kojim se stječe vlasništvo nekretnine,</w:t>
      </w:r>
    </w:p>
    <w:p w14:paraId="2BBCFA6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danom početka korištenja nekretnine koja se koristi bez pravne osnove,</w:t>
      </w:r>
    </w:p>
    <w:p w14:paraId="0BDDF94A" w14:textId="77777777" w:rsidR="0067744B" w:rsidRPr="0067744B" w:rsidRDefault="00000000" w:rsidP="0067744B">
      <w:pPr>
        <w:suppressAutoHyphens w:val="0"/>
        <w:autoSpaceDN/>
        <w:spacing w:after="160"/>
        <w:jc w:val="center"/>
        <w:textAlignment w:val="auto"/>
        <w:rPr>
          <w:rFonts w:ascii="Arial" w:hAnsi="Arial" w:cs="Arial"/>
          <w:kern w:val="2"/>
          <w14:ligatures w14:val="standardContextual"/>
        </w:rPr>
      </w:pPr>
      <w:r w:rsidRPr="0067744B">
        <w:rPr>
          <w:rFonts w:ascii="Arial" w:hAnsi="Arial" w:cs="Arial"/>
          <w:b/>
          <w:bCs/>
          <w:kern w:val="2"/>
          <w14:ligatures w14:val="standardContextual"/>
        </w:rPr>
        <w:t>Članak 6</w:t>
      </w:r>
      <w:r w:rsidRPr="0067744B">
        <w:rPr>
          <w:rFonts w:ascii="Arial" w:hAnsi="Arial" w:cs="Arial"/>
          <w:kern w:val="2"/>
          <w14:ligatures w14:val="standardContextual"/>
        </w:rPr>
        <w:t>.</w:t>
      </w:r>
    </w:p>
    <w:p w14:paraId="5DB1392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lastRenderedPageBreak/>
        <w:t>(1) Obveznik iz članka 4. ove Odluke je dužan u roku od 15 dana od dana nastanka obveze plaćanja komunalne naknade, promjene osobe obveznika ili promjene drugih podataka bitnih za utvrđivanje obveze plaćanja komunalne naknade prijaviti Jedinstvenom upravnom odjelu Općine Jelenje nastanak te obveze odnosno promjenu tih podataka.</w:t>
      </w:r>
    </w:p>
    <w:p w14:paraId="72E9E8D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Pod drugim podacima bitnim za utvrđivanje obveze plaćanja komunalne naknade iz stavka 1. ovog članka smatra se promjena obračunske površine nekretnine ili promjena namjene nekretnine.</w:t>
      </w:r>
    </w:p>
    <w:p w14:paraId="1295E330" w14:textId="77777777" w:rsid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Ako obveznik iz članka 4. ove Odluke ne prijavi Jedinstvenom upravnom odjelu Općine Jelenje obvezu plaćanja komunalne naknade, promjenu osobe obveznika ili promjenu drugih podataka bitnih za utvrđivanje obveze plaćanja komunalne naknade u propisanom roku, dužan je platiti komunalnu naknadu od dana nastanka obveze.</w:t>
      </w:r>
    </w:p>
    <w:p w14:paraId="1B3957B8"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01E6F8ED" w14:textId="77777777" w:rsidR="0067744B" w:rsidRPr="0067744B" w:rsidRDefault="00000000" w:rsidP="0067744B">
      <w:pPr>
        <w:suppressAutoHyphens w:val="0"/>
        <w:autoSpaceDN/>
        <w:spacing w:after="160"/>
        <w:jc w:val="both"/>
        <w:textAlignment w:val="auto"/>
        <w:rPr>
          <w:rFonts w:ascii="Arial" w:hAnsi="Arial" w:cs="Arial"/>
          <w:b/>
          <w:bCs/>
          <w:kern w:val="2"/>
          <w14:ligatures w14:val="standardContextual"/>
        </w:rPr>
      </w:pPr>
      <w:r w:rsidRPr="0067744B">
        <w:rPr>
          <w:rFonts w:ascii="Arial" w:hAnsi="Arial" w:cs="Arial"/>
          <w:b/>
          <w:bCs/>
          <w:kern w:val="2"/>
          <w14:ligatures w14:val="standardContextual"/>
        </w:rPr>
        <w:t>III. VISINA, NAČIN OBRAČUNA I NAČIN PLAĆANJA KOMUNALNE NAKNADE</w:t>
      </w:r>
    </w:p>
    <w:p w14:paraId="14E84FBA"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7.</w:t>
      </w:r>
    </w:p>
    <w:p w14:paraId="2F474BD2"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Komunalna naknada obračunava se po četvornome metru m</w:t>
      </w:r>
      <w:r w:rsidRPr="0067744B">
        <w:rPr>
          <w:rFonts w:ascii="Arial" w:hAnsi="Arial" w:cs="Arial"/>
          <w:kern w:val="2"/>
          <w:vertAlign w:val="superscript"/>
          <w14:ligatures w14:val="standardContextual"/>
        </w:rPr>
        <w:t>2</w:t>
      </w:r>
      <w:r w:rsidRPr="0067744B">
        <w:rPr>
          <w:rFonts w:ascii="Arial" w:hAnsi="Arial" w:cs="Arial"/>
          <w:kern w:val="2"/>
          <w14:ligatures w14:val="standardContextual"/>
        </w:rPr>
        <w:t> površine nekretnine za koju se utvrđuje obveza plaćanja komunalne naknade i to za:</w:t>
      </w:r>
    </w:p>
    <w:p w14:paraId="5D347913"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1.stambeni, poslovni i garažni prostor po jedinici korisne površine koja se utvrđuje na način propisan Uredbom o uvjetima i mjerilima za utvrđivanje zaštićene najamnine („Narodne novine“ broj 40/97),</w:t>
      </w:r>
    </w:p>
    <w:p w14:paraId="4115BA2D"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2.građevinsko zemljište koje služi obavljanju poslovne djelatnosti i neizgrađeno građevinsko zemljište po jedinici stvarne površine.</w:t>
      </w:r>
    </w:p>
    <w:p w14:paraId="799415E1"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8.</w:t>
      </w:r>
    </w:p>
    <w:p w14:paraId="4118482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Iznos komunalne naknade po četvornome metru m</w:t>
      </w:r>
      <w:r w:rsidRPr="0067744B">
        <w:rPr>
          <w:rFonts w:ascii="Arial" w:hAnsi="Arial" w:cs="Arial"/>
          <w:kern w:val="2"/>
          <w:vertAlign w:val="superscript"/>
          <w14:ligatures w14:val="standardContextual"/>
        </w:rPr>
        <w:t>2</w:t>
      </w:r>
      <w:r w:rsidRPr="0067744B">
        <w:rPr>
          <w:rFonts w:ascii="Arial" w:hAnsi="Arial" w:cs="Arial"/>
          <w:kern w:val="2"/>
          <w14:ligatures w14:val="standardContextual"/>
        </w:rPr>
        <w:t> površine nekretnine utvrđuje se množenjem koeficijenta zone (</w:t>
      </w:r>
      <w:proofErr w:type="spellStart"/>
      <w:r w:rsidRPr="0067744B">
        <w:rPr>
          <w:rFonts w:ascii="Arial" w:hAnsi="Arial" w:cs="Arial"/>
          <w:kern w:val="2"/>
          <w14:ligatures w14:val="standardContextual"/>
        </w:rPr>
        <w:t>Kz</w:t>
      </w:r>
      <w:proofErr w:type="spellEnd"/>
      <w:r w:rsidRPr="0067744B">
        <w:rPr>
          <w:rFonts w:ascii="Arial" w:hAnsi="Arial" w:cs="Arial"/>
          <w:kern w:val="2"/>
          <w14:ligatures w14:val="standardContextual"/>
        </w:rPr>
        <w:t>), koeficijenta namjene (Kn) i vrijednosti boda komunalne naknade (B).</w:t>
      </w:r>
    </w:p>
    <w:p w14:paraId="5B950444"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9.</w:t>
      </w:r>
    </w:p>
    <w:p w14:paraId="7ED18775"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Područja zona u kojima se naplaćuje komunalna naknada određuju se s obzirom na uređenost i opremljenost područja komunalnom infrastrukturom.</w:t>
      </w:r>
    </w:p>
    <w:p w14:paraId="47467CC7"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Ulice na području općine Jelenje svrstavaju se u zone kako slijedi:</w:t>
      </w:r>
    </w:p>
    <w:p w14:paraId="762DC012" w14:textId="77777777" w:rsidR="0067744B" w:rsidRPr="0067744B" w:rsidRDefault="00000000" w:rsidP="0067744B">
      <w:pPr>
        <w:numPr>
          <w:ilvl w:val="0"/>
          <w:numId w:val="4"/>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zona: naselje Dražice i Podhum</w:t>
      </w:r>
    </w:p>
    <w:p w14:paraId="542E7450" w14:textId="77777777" w:rsidR="0067744B" w:rsidRPr="0067744B" w:rsidRDefault="00000000" w:rsidP="0067744B">
      <w:pPr>
        <w:numPr>
          <w:ilvl w:val="0"/>
          <w:numId w:val="4"/>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zona: naselje </w:t>
      </w:r>
      <w:proofErr w:type="spellStart"/>
      <w:r w:rsidRPr="0067744B">
        <w:rPr>
          <w:rFonts w:ascii="Arial" w:hAnsi="Arial" w:cs="Arial"/>
          <w:kern w:val="2"/>
          <w14:ligatures w14:val="standardContextual"/>
        </w:rPr>
        <w:t>Baštijani</w:t>
      </w:r>
      <w:proofErr w:type="spellEnd"/>
      <w:r w:rsidRPr="0067744B">
        <w:rPr>
          <w:rFonts w:ascii="Arial" w:hAnsi="Arial" w:cs="Arial"/>
          <w:kern w:val="2"/>
          <w14:ligatures w14:val="standardContextual"/>
        </w:rPr>
        <w:t xml:space="preserve">, Brnelići, </w:t>
      </w:r>
      <w:proofErr w:type="spellStart"/>
      <w:r w:rsidRPr="0067744B">
        <w:rPr>
          <w:rFonts w:ascii="Arial" w:hAnsi="Arial" w:cs="Arial"/>
          <w:kern w:val="2"/>
          <w14:ligatures w14:val="standardContextual"/>
        </w:rPr>
        <w:t>Drastin</w:t>
      </w:r>
      <w:proofErr w:type="spellEnd"/>
      <w:r w:rsidRPr="0067744B">
        <w:rPr>
          <w:rFonts w:ascii="Arial" w:hAnsi="Arial" w:cs="Arial"/>
          <w:kern w:val="2"/>
          <w14:ligatures w14:val="standardContextual"/>
        </w:rPr>
        <w:t xml:space="preserve">, Jelenje, </w:t>
      </w:r>
      <w:proofErr w:type="spellStart"/>
      <w:r w:rsidRPr="0067744B">
        <w:rPr>
          <w:rFonts w:ascii="Arial" w:hAnsi="Arial" w:cs="Arial"/>
          <w:kern w:val="2"/>
          <w14:ligatures w14:val="standardContextual"/>
        </w:rPr>
        <w:t>Kukuljani</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Lubarska</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Lukeži</w:t>
      </w:r>
      <w:proofErr w:type="spellEnd"/>
      <w:r w:rsidRPr="0067744B">
        <w:rPr>
          <w:rFonts w:ascii="Arial" w:hAnsi="Arial" w:cs="Arial"/>
          <w:kern w:val="2"/>
          <w14:ligatures w14:val="standardContextual"/>
        </w:rPr>
        <w:t xml:space="preserve">, Martinovo selo, </w:t>
      </w:r>
      <w:proofErr w:type="spellStart"/>
      <w:r w:rsidRPr="0067744B">
        <w:rPr>
          <w:rFonts w:ascii="Arial" w:hAnsi="Arial" w:cs="Arial"/>
          <w:kern w:val="2"/>
          <w14:ligatures w14:val="standardContextual"/>
        </w:rPr>
        <w:t>Lopača</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Milaši</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Podkilavac</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Ratulje</w:t>
      </w:r>
      <w:proofErr w:type="spellEnd"/>
      <w:r w:rsidRPr="0067744B">
        <w:rPr>
          <w:rFonts w:ascii="Arial" w:hAnsi="Arial" w:cs="Arial"/>
          <w:kern w:val="2"/>
          <w14:ligatures w14:val="standardContextual"/>
        </w:rPr>
        <w:t xml:space="preserve">, </w:t>
      </w:r>
      <w:proofErr w:type="spellStart"/>
      <w:r w:rsidRPr="0067744B">
        <w:rPr>
          <w:rFonts w:ascii="Arial" w:hAnsi="Arial" w:cs="Arial"/>
          <w:kern w:val="2"/>
          <w14:ligatures w14:val="standardContextual"/>
        </w:rPr>
        <w:t>Trnovica</w:t>
      </w:r>
      <w:proofErr w:type="spellEnd"/>
      <w:r w:rsidRPr="0067744B">
        <w:rPr>
          <w:rFonts w:ascii="Arial" w:hAnsi="Arial" w:cs="Arial"/>
          <w:kern w:val="2"/>
          <w14:ligatures w14:val="standardContextual"/>
        </w:rPr>
        <w:t xml:space="preserve">, Valići i </w:t>
      </w:r>
      <w:proofErr w:type="spellStart"/>
      <w:r w:rsidRPr="0067744B">
        <w:rPr>
          <w:rFonts w:ascii="Arial" w:hAnsi="Arial" w:cs="Arial"/>
          <w:kern w:val="2"/>
          <w14:ligatures w14:val="standardContextual"/>
        </w:rPr>
        <w:t>Zoretići</w:t>
      </w:r>
      <w:proofErr w:type="spellEnd"/>
      <w:r w:rsidRPr="0067744B">
        <w:rPr>
          <w:rFonts w:ascii="Arial" w:hAnsi="Arial" w:cs="Arial"/>
          <w:kern w:val="2"/>
          <w14:ligatures w14:val="standardContextual"/>
        </w:rPr>
        <w:t xml:space="preserve">. </w:t>
      </w:r>
    </w:p>
    <w:p w14:paraId="153111FB"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Koeficijent zone (</w:t>
      </w:r>
      <w:proofErr w:type="spellStart"/>
      <w:r w:rsidRPr="0067744B">
        <w:rPr>
          <w:rFonts w:ascii="Arial" w:hAnsi="Arial" w:cs="Arial"/>
          <w:kern w:val="2"/>
          <w14:ligatures w14:val="standardContextual"/>
        </w:rPr>
        <w:t>Kz</w:t>
      </w:r>
      <w:proofErr w:type="spellEnd"/>
      <w:r w:rsidRPr="0067744B">
        <w:rPr>
          <w:rFonts w:ascii="Arial" w:hAnsi="Arial" w:cs="Arial"/>
          <w:kern w:val="2"/>
          <w14:ligatures w14:val="standardContextual"/>
        </w:rPr>
        <w:t>) na području općine Jelenje, utvrđuje se kako slijedi:</w:t>
      </w:r>
    </w:p>
    <w:p w14:paraId="168B99C3" w14:textId="77777777" w:rsidR="0067744B" w:rsidRPr="0067744B" w:rsidRDefault="00000000" w:rsidP="0067744B">
      <w:pPr>
        <w:numPr>
          <w:ilvl w:val="0"/>
          <w:numId w:val="5"/>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za prvu zonu 1,00</w:t>
      </w:r>
    </w:p>
    <w:p w14:paraId="04967D93" w14:textId="77777777" w:rsidR="0067744B" w:rsidRPr="0067744B" w:rsidRDefault="00000000" w:rsidP="0067744B">
      <w:pPr>
        <w:numPr>
          <w:ilvl w:val="0"/>
          <w:numId w:val="5"/>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za drugu zonu 0,80</w:t>
      </w:r>
    </w:p>
    <w:p w14:paraId="1C5C1891" w14:textId="77777777" w:rsidR="0067744B" w:rsidRPr="0067744B" w:rsidRDefault="0067744B" w:rsidP="0067744B">
      <w:pPr>
        <w:suppressAutoHyphens w:val="0"/>
        <w:autoSpaceDN/>
        <w:spacing w:after="160"/>
        <w:ind w:left="720"/>
        <w:contextualSpacing/>
        <w:textAlignment w:val="auto"/>
        <w:rPr>
          <w:rFonts w:ascii="Arial" w:hAnsi="Arial" w:cs="Arial"/>
          <w:kern w:val="2"/>
          <w14:ligatures w14:val="standardContextual"/>
        </w:rPr>
      </w:pPr>
    </w:p>
    <w:p w14:paraId="142733F1"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10.</w:t>
      </w:r>
    </w:p>
    <w:p w14:paraId="3F00600B"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Koeficijent namjene (Kn) određuje se ovisno o vrsti nekretnine i djelatnosti koja se obavlja kako slijedi:</w:t>
      </w:r>
    </w:p>
    <w:p w14:paraId="0C716861"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lastRenderedPageBreak/>
        <w:t>1. stambeni prostor: 1,00,</w:t>
      </w:r>
    </w:p>
    <w:p w14:paraId="75BE17AB"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stambeni i poslovni prostor koji koriste neprofitne udruge građana: 1,00,</w:t>
      </w:r>
    </w:p>
    <w:p w14:paraId="189EF17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garažni prostor: 1,00,</w:t>
      </w:r>
    </w:p>
    <w:p w14:paraId="24A101F9"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neizgrađeno građevinsko zemljište: 0,05,</w:t>
      </w:r>
    </w:p>
    <w:p w14:paraId="4FD56E58"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5. za građevinsko zemljište, koje služi u svrhu obavljanja poslovne djelatnosti iznosi 10% koeficijenta namjene koji je određen za poslovni prostor,</w:t>
      </w:r>
    </w:p>
    <w:p w14:paraId="49F70B59"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6. za nekretnine poslovne namjene prema djelatnostima:</w:t>
      </w:r>
    </w:p>
    <w:tbl>
      <w:tblPr>
        <w:tblStyle w:val="Reetkatablice1"/>
        <w:tblW w:w="0" w:type="auto"/>
        <w:tblLook w:val="04A0" w:firstRow="1" w:lastRow="0" w:firstColumn="1" w:lastColumn="0" w:noHBand="0" w:noVBand="1"/>
      </w:tblPr>
      <w:tblGrid>
        <w:gridCol w:w="4513"/>
        <w:gridCol w:w="4503"/>
      </w:tblGrid>
      <w:tr w:rsidR="000B3B7D" w14:paraId="475F31DE" w14:textId="77777777" w:rsidTr="005A6725">
        <w:tc>
          <w:tcPr>
            <w:tcW w:w="4687" w:type="dxa"/>
          </w:tcPr>
          <w:p w14:paraId="257B25F5" w14:textId="77777777" w:rsidR="0067744B" w:rsidRPr="0067744B" w:rsidRDefault="00000000" w:rsidP="0067744B">
            <w:pPr>
              <w:suppressAutoHyphens w:val="0"/>
              <w:autoSpaceDN/>
              <w:spacing w:after="160"/>
              <w:jc w:val="center"/>
              <w:textAlignment w:val="auto"/>
              <w:rPr>
                <w:rFonts w:ascii="Arial" w:hAnsi="Arial" w:cs="Arial"/>
                <w:b/>
                <w:bCs/>
                <w:sz w:val="16"/>
                <w:szCs w:val="16"/>
              </w:rPr>
            </w:pPr>
            <w:r w:rsidRPr="0067744B">
              <w:rPr>
                <w:rFonts w:ascii="Arial" w:hAnsi="Arial" w:cs="Arial"/>
                <w:b/>
                <w:bCs/>
                <w:sz w:val="16"/>
                <w:szCs w:val="16"/>
              </w:rPr>
              <w:t>DJELATNOST</w:t>
            </w:r>
          </w:p>
        </w:tc>
        <w:tc>
          <w:tcPr>
            <w:tcW w:w="4687" w:type="dxa"/>
          </w:tcPr>
          <w:p w14:paraId="006BEC91" w14:textId="77777777" w:rsidR="0067744B" w:rsidRPr="0067744B" w:rsidRDefault="00000000" w:rsidP="0067744B">
            <w:pPr>
              <w:suppressAutoHyphens w:val="0"/>
              <w:autoSpaceDN/>
              <w:spacing w:after="160"/>
              <w:jc w:val="center"/>
              <w:textAlignment w:val="auto"/>
              <w:rPr>
                <w:rFonts w:ascii="Arial" w:hAnsi="Arial" w:cs="Arial"/>
                <w:b/>
                <w:bCs/>
                <w:sz w:val="16"/>
                <w:szCs w:val="16"/>
              </w:rPr>
            </w:pPr>
            <w:r w:rsidRPr="0067744B">
              <w:rPr>
                <w:rFonts w:ascii="Arial" w:hAnsi="Arial" w:cs="Arial"/>
                <w:b/>
                <w:bCs/>
                <w:sz w:val="16"/>
                <w:szCs w:val="16"/>
              </w:rPr>
              <w:t>KOEFICIJENT NAMJENE (Kn)</w:t>
            </w:r>
          </w:p>
        </w:tc>
      </w:tr>
      <w:tr w:rsidR="000B3B7D" w14:paraId="6C1DBD4A" w14:textId="77777777" w:rsidTr="005A6725">
        <w:tc>
          <w:tcPr>
            <w:tcW w:w="4687" w:type="dxa"/>
          </w:tcPr>
          <w:p w14:paraId="2A08FE86"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-obrazovanje</w:t>
            </w:r>
          </w:p>
          <w:p w14:paraId="361916B3"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-sportske djelatnosti</w:t>
            </w:r>
          </w:p>
          <w:p w14:paraId="7B889775"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-rekreacijske, zabavne, kulturne i umjetničke djelatnosti osim djelatnosti kockanja, klađenja, distribucije filmova i video filmova</w:t>
            </w:r>
          </w:p>
          <w:p w14:paraId="422759D1"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-javna uprava i obrana: obvezno socijalno osiguranje</w:t>
            </w:r>
          </w:p>
        </w:tc>
        <w:tc>
          <w:tcPr>
            <w:tcW w:w="4687" w:type="dxa"/>
          </w:tcPr>
          <w:p w14:paraId="7AAD7992"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1,40</w:t>
            </w:r>
          </w:p>
        </w:tc>
      </w:tr>
      <w:tr w:rsidR="000B3B7D" w14:paraId="1DFDCB80" w14:textId="77777777" w:rsidTr="005A6725">
        <w:tc>
          <w:tcPr>
            <w:tcW w:w="4687" w:type="dxa"/>
          </w:tcPr>
          <w:p w14:paraId="4BF3A569"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-djelatnosti zdravstvene zaštite i socijalne skrbi</w:t>
            </w:r>
          </w:p>
          <w:p w14:paraId="5D1D8BC7"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-prerađivačka industrija: proizvodnja prehrambenih proizvoda, pića, duhanskih proizvoda, tekstila, odjeće, kože, drva i proizvoda od drva, papira</w:t>
            </w:r>
          </w:p>
          <w:p w14:paraId="51883AF1"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-poljoprivreda, šumarstvo i ribarstvo</w:t>
            </w:r>
          </w:p>
        </w:tc>
        <w:tc>
          <w:tcPr>
            <w:tcW w:w="4687" w:type="dxa"/>
          </w:tcPr>
          <w:p w14:paraId="724A0DBC"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2,80</w:t>
            </w:r>
          </w:p>
        </w:tc>
      </w:tr>
      <w:tr w:rsidR="000B3B7D" w14:paraId="47F65DD2" w14:textId="77777777" w:rsidTr="005A6725">
        <w:tc>
          <w:tcPr>
            <w:tcW w:w="4687" w:type="dxa"/>
          </w:tcPr>
          <w:p w14:paraId="2C74BE0D"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-prerađivačka industrija: proizvodnja ostalo</w:t>
            </w:r>
          </w:p>
          <w:p w14:paraId="15ABB651"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-rudarstvo i vađenje</w:t>
            </w:r>
          </w:p>
          <w:p w14:paraId="777E00BD"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-građevinarstvo</w:t>
            </w:r>
          </w:p>
          <w:p w14:paraId="37EF3F28"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-opskrba električnom energijom, plinom, parom i klimatizacija</w:t>
            </w:r>
          </w:p>
          <w:p w14:paraId="7056BBF8"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-distribucija filmova i video filmova</w:t>
            </w:r>
          </w:p>
          <w:p w14:paraId="4A75FC26"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-djelatnosti kućanstava kao poslodavaca</w:t>
            </w:r>
          </w:p>
        </w:tc>
        <w:tc>
          <w:tcPr>
            <w:tcW w:w="4687" w:type="dxa"/>
          </w:tcPr>
          <w:p w14:paraId="2B571CBE"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4,20</w:t>
            </w:r>
          </w:p>
        </w:tc>
      </w:tr>
      <w:tr w:rsidR="000B3B7D" w14:paraId="780AF7B5" w14:textId="77777777" w:rsidTr="005A6725">
        <w:tc>
          <w:tcPr>
            <w:tcW w:w="4687" w:type="dxa"/>
          </w:tcPr>
          <w:p w14:paraId="517A0EFD"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-trgovina na veliko i malo</w:t>
            </w:r>
          </w:p>
          <w:p w14:paraId="529DE79C"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-stručne, znanstvene i tehničke djelatnosti</w:t>
            </w:r>
          </w:p>
          <w:p w14:paraId="0ECB3480"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-održavanje i popravak motornih vozila i motocikala</w:t>
            </w:r>
          </w:p>
          <w:p w14:paraId="24A9CA66"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-ostale uslužne djelatnosti</w:t>
            </w:r>
          </w:p>
        </w:tc>
        <w:tc>
          <w:tcPr>
            <w:tcW w:w="4687" w:type="dxa"/>
          </w:tcPr>
          <w:p w14:paraId="20C671DD"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5,50</w:t>
            </w:r>
          </w:p>
        </w:tc>
      </w:tr>
      <w:tr w:rsidR="000B3B7D" w14:paraId="356C20CD" w14:textId="77777777" w:rsidTr="005A6725">
        <w:tc>
          <w:tcPr>
            <w:tcW w:w="4687" w:type="dxa"/>
          </w:tcPr>
          <w:p w14:paraId="57CDE572"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-djelatnosti pružanja smještaja</w:t>
            </w:r>
          </w:p>
        </w:tc>
        <w:tc>
          <w:tcPr>
            <w:tcW w:w="4687" w:type="dxa"/>
          </w:tcPr>
          <w:p w14:paraId="10E828A6"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6,30</w:t>
            </w:r>
          </w:p>
        </w:tc>
      </w:tr>
      <w:tr w:rsidR="000B3B7D" w14:paraId="15DCD2B4" w14:textId="77777777" w:rsidTr="005A6725">
        <w:tc>
          <w:tcPr>
            <w:tcW w:w="4687" w:type="dxa"/>
          </w:tcPr>
          <w:p w14:paraId="103330AB"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-prijevoz i skladištenje</w:t>
            </w:r>
          </w:p>
          <w:p w14:paraId="16DEBB95"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-telekomunikacije, računalno programiranje, savjetovanje, računalna infrastruktura i ostale informacijske uslužne djelatnosti</w:t>
            </w:r>
          </w:p>
        </w:tc>
        <w:tc>
          <w:tcPr>
            <w:tcW w:w="4687" w:type="dxa"/>
          </w:tcPr>
          <w:p w14:paraId="79CF0417"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7,00</w:t>
            </w:r>
          </w:p>
        </w:tc>
      </w:tr>
      <w:tr w:rsidR="000B3B7D" w14:paraId="41A4B7F9" w14:textId="77777777" w:rsidTr="005A6725">
        <w:tc>
          <w:tcPr>
            <w:tcW w:w="4687" w:type="dxa"/>
          </w:tcPr>
          <w:p w14:paraId="538C100B"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-djelatnosti pružanja pripreme i usluživanja hrane i pića</w:t>
            </w:r>
          </w:p>
          <w:p w14:paraId="3F5048DE"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-administrativne i pomoćne uslužne djelatnosti</w:t>
            </w:r>
          </w:p>
          <w:p w14:paraId="06084272"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-financijske djelatnosti osiguranja</w:t>
            </w:r>
          </w:p>
          <w:p w14:paraId="05E9C212"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-poslovanje nekretninama</w:t>
            </w:r>
          </w:p>
          <w:p w14:paraId="73C6D7EB"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-izdavačke djelatnosti</w:t>
            </w:r>
          </w:p>
        </w:tc>
        <w:tc>
          <w:tcPr>
            <w:tcW w:w="4687" w:type="dxa"/>
          </w:tcPr>
          <w:p w14:paraId="2E565918"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8,50</w:t>
            </w:r>
          </w:p>
        </w:tc>
      </w:tr>
      <w:tr w:rsidR="000B3B7D" w14:paraId="44915BDA" w14:textId="77777777" w:rsidTr="005A6725">
        <w:tc>
          <w:tcPr>
            <w:tcW w:w="4687" w:type="dxa"/>
          </w:tcPr>
          <w:p w14:paraId="6732A585"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-financijske djelatnosti osim djelatnosti osiguranja</w:t>
            </w:r>
          </w:p>
          <w:p w14:paraId="1D04C5E5"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-djelatnosti kockanja i klađenja</w:t>
            </w:r>
          </w:p>
          <w:p w14:paraId="5B28AF37" w14:textId="77777777" w:rsidR="0067744B" w:rsidRPr="0067744B" w:rsidRDefault="00000000" w:rsidP="0067744B">
            <w:pPr>
              <w:suppressAutoHyphens w:val="0"/>
              <w:autoSpaceDN/>
              <w:jc w:val="both"/>
              <w:textAlignment w:val="auto"/>
              <w:rPr>
                <w:rFonts w:ascii="Arial" w:hAnsi="Arial" w:cs="Arial"/>
                <w:sz w:val="16"/>
                <w:szCs w:val="16"/>
              </w:rPr>
            </w:pPr>
            <w:r w:rsidRPr="0067744B">
              <w:rPr>
                <w:rFonts w:ascii="Arial" w:hAnsi="Arial" w:cs="Arial"/>
                <w:sz w:val="16"/>
                <w:szCs w:val="16"/>
              </w:rPr>
              <w:t>-uklanjanje otpadnih voda, gospodarenje otpadom te djelatnosti sanacije okoliša</w:t>
            </w:r>
          </w:p>
        </w:tc>
        <w:tc>
          <w:tcPr>
            <w:tcW w:w="4687" w:type="dxa"/>
          </w:tcPr>
          <w:p w14:paraId="42D6C6B1" w14:textId="77777777" w:rsidR="0067744B" w:rsidRPr="0067744B" w:rsidRDefault="00000000" w:rsidP="0067744B">
            <w:pPr>
              <w:suppressAutoHyphens w:val="0"/>
              <w:autoSpaceDN/>
              <w:spacing w:after="160"/>
              <w:jc w:val="both"/>
              <w:textAlignment w:val="auto"/>
              <w:rPr>
                <w:rFonts w:ascii="Arial" w:hAnsi="Arial" w:cs="Arial"/>
                <w:sz w:val="16"/>
                <w:szCs w:val="16"/>
              </w:rPr>
            </w:pPr>
            <w:r w:rsidRPr="0067744B">
              <w:rPr>
                <w:rFonts w:ascii="Arial" w:hAnsi="Arial" w:cs="Arial"/>
                <w:sz w:val="16"/>
                <w:szCs w:val="16"/>
              </w:rPr>
              <w:t>10,00</w:t>
            </w:r>
          </w:p>
        </w:tc>
      </w:tr>
    </w:tbl>
    <w:p w14:paraId="177D9516"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47CD2D21"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25493769"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11.</w:t>
      </w:r>
    </w:p>
    <w:p w14:paraId="04DF8A9E"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Za poslovni prostor i građevinsko zemljište koje služi obavljanju poslovne djelatnosti, kad se poslovna djelatnost ne obavlja više od šest mjeseci u kalendarskoj godini, koeficijent namjene umanjuje se za 50%, ali ne može biti manji od koeficijenta namjene za stambeni prostor odnosno neizgrađeno građevinsko zemljište.</w:t>
      </w:r>
    </w:p>
    <w:p w14:paraId="0ED59037"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Za hotele, turistička naselja, kampove i golf igrališta, visina godišnje komunalne naknade ne može biti veća od 1,5% ukupnog godišnjeg prihoda obveznika komunalne naknade iz prethodne godine ostvarenog u pojedinom hotelu, turističkom naselju, kampu i na golf igralištu za koje se plaća komunalna naknada.</w:t>
      </w:r>
    </w:p>
    <w:p w14:paraId="320A4607"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lastRenderedPageBreak/>
        <w:t>Članak 12.</w:t>
      </w:r>
    </w:p>
    <w:p w14:paraId="4F2D4F49"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Odluku kojom se određuje vrijednost boda komunalne naknade (B) donosi Općinsko vijeće Općine Jelenje do kraja studenoga tekuće godine, a primjenjuje se od 1. siječnja iduće godine.</w:t>
      </w:r>
    </w:p>
    <w:p w14:paraId="18478E12"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Vrijednost boda komunalne naknade (B) određuje se u eurima po četvornome metru m</w:t>
      </w:r>
      <w:r w:rsidRPr="0067744B">
        <w:rPr>
          <w:rFonts w:ascii="Arial" w:hAnsi="Arial" w:cs="Arial"/>
          <w:kern w:val="2"/>
          <w:vertAlign w:val="superscript"/>
          <w14:ligatures w14:val="standardContextual"/>
        </w:rPr>
        <w:t>2</w:t>
      </w:r>
      <w:r w:rsidRPr="0067744B">
        <w:rPr>
          <w:rFonts w:ascii="Arial" w:hAnsi="Arial" w:cs="Arial"/>
          <w:kern w:val="2"/>
          <w14:ligatures w14:val="standardContextual"/>
        </w:rPr>
        <w:t> korisne površine stambenog prostora u prvoj zoni Općine Jelenje.</w:t>
      </w:r>
    </w:p>
    <w:p w14:paraId="0C220742"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Ukoliko Općinsko vijeće Općine Jelenje ne odredi vrijednost boda komunalne naknade (B) do kraja studenoga tekuće godine, za obračun komunalne naknade u sljedećoj kalendarskoj godini vrijednost boda se ne mijenja.</w:t>
      </w:r>
    </w:p>
    <w:p w14:paraId="107D23BB"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13.</w:t>
      </w:r>
    </w:p>
    <w:p w14:paraId="2BD06B9E"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Rješenje o komunalnoj naknadi donosi Jedinstveni upravni odjel Općine Jelenje u skladu s ovom Odlukom i odlukom iz članka 12., stavak 1. ove Odluke, u postupku pokrenutom po službenoj dužnosti.</w:t>
      </w:r>
    </w:p>
    <w:p w14:paraId="75BD4617"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Rješenje o komunalnom naknadi donosi se do 31. ožujka tekuće godine ako se odlukom predstavničkog tijela mijenja vrijednost boda komunalne naknade (B) ili drugi podatak bitan za njezin izračun u odnosu na prethodnu godinu te u slučaju promjene drugih podataka bitnih za utvrđivanje obveze plaćanja komunalne naknade.</w:t>
      </w:r>
    </w:p>
    <w:p w14:paraId="7936DB4F"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(3) Rješenje o komunalnoj naknadi, donosi se i </w:t>
      </w:r>
      <w:proofErr w:type="spellStart"/>
      <w:r w:rsidRPr="0067744B">
        <w:rPr>
          <w:rFonts w:ascii="Arial" w:hAnsi="Arial" w:cs="Arial"/>
          <w:kern w:val="2"/>
          <w14:ligatures w14:val="standardContextual"/>
        </w:rPr>
        <w:t>ovršava</w:t>
      </w:r>
      <w:proofErr w:type="spellEnd"/>
      <w:r w:rsidRPr="0067744B">
        <w:rPr>
          <w:rFonts w:ascii="Arial" w:hAnsi="Arial" w:cs="Arial"/>
          <w:kern w:val="2"/>
          <w14:ligatures w14:val="standardContextual"/>
        </w:rPr>
        <w:t xml:space="preserve"> u postupku i na način propisan zakonom kojim se uređuje opći odnos između poreznih obveznika i poreznih tijela koja primjenjuju propise o porezima i drugim javnim davanjima.</w:t>
      </w:r>
    </w:p>
    <w:p w14:paraId="488868C0"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14.</w:t>
      </w:r>
    </w:p>
    <w:p w14:paraId="34275BC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Rješenjem o komunalnoj naknadi utvrđuje se:</w:t>
      </w:r>
    </w:p>
    <w:p w14:paraId="64F7B1F5"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iznos komunalne naknade po četvornome metru m</w:t>
      </w:r>
      <w:r w:rsidRPr="0067744B">
        <w:rPr>
          <w:rFonts w:ascii="Arial" w:hAnsi="Arial" w:cs="Arial"/>
          <w:kern w:val="2"/>
          <w:vertAlign w:val="superscript"/>
          <w14:ligatures w14:val="standardContextual"/>
        </w:rPr>
        <w:t>2</w:t>
      </w:r>
      <w:r w:rsidRPr="0067744B">
        <w:rPr>
          <w:rFonts w:ascii="Arial" w:hAnsi="Arial" w:cs="Arial"/>
          <w:kern w:val="2"/>
          <w14:ligatures w14:val="standardContextual"/>
        </w:rPr>
        <w:t> nekretnine,</w:t>
      </w:r>
    </w:p>
    <w:p w14:paraId="0D7302B6"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obračunska površina nekretnine,</w:t>
      </w:r>
    </w:p>
    <w:p w14:paraId="103BB984"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godišnji iznos komunalne naknade,</w:t>
      </w:r>
    </w:p>
    <w:p w14:paraId="5E48B5AC"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iznos obroka komunalne naknade,</w:t>
      </w:r>
    </w:p>
    <w:p w14:paraId="266E7495"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5. rok za plaćanje mjesečnog iznosa komunalne naknade</w:t>
      </w:r>
    </w:p>
    <w:p w14:paraId="767B3D96"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(2) Godišnji iznos komunalne naknade utvrđuje se množenjem površine nekretnine za koju se utvrđuje obveza plaćanja komunalne naknade i iznosa komunalne naknade po četvornom metru m</w:t>
      </w:r>
      <w:r w:rsidRPr="0067744B">
        <w:rPr>
          <w:rFonts w:ascii="Arial" w:hAnsi="Arial" w:cs="Arial"/>
          <w:kern w:val="2"/>
          <w:vertAlign w:val="superscript"/>
          <w14:ligatures w14:val="standardContextual"/>
        </w:rPr>
        <w:t>2</w:t>
      </w:r>
      <w:r w:rsidRPr="0067744B">
        <w:rPr>
          <w:rFonts w:ascii="Arial" w:hAnsi="Arial" w:cs="Arial"/>
          <w:kern w:val="2"/>
          <w14:ligatures w14:val="standardContextual"/>
        </w:rPr>
        <w:t> površine nekretnine.</w:t>
      </w:r>
    </w:p>
    <w:p w14:paraId="70F68BF1"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3D637E7C"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15.</w:t>
      </w:r>
    </w:p>
    <w:p w14:paraId="2CF81E1C"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Protiv rješenja o komunalnoj naknadi i rješenja o njegovoj ovrsi te rješenja o obustavi postupka može se izjaviti žalba o kojoj odlučuje upravno tijelo županije nadležno za poslove komunalnog gospodarstva.</w:t>
      </w:r>
    </w:p>
    <w:p w14:paraId="45A7E174"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16.</w:t>
      </w:r>
    </w:p>
    <w:p w14:paraId="5480EB57"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Komunalna naknada plaća se tijekom kalendarske godine u šest obroka, s rokovima dospijeća kako slijedi:</w:t>
      </w:r>
    </w:p>
    <w:p w14:paraId="70D15E64"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lastRenderedPageBreak/>
        <w:t>obrok za razdoblje od 1. siječnja do 28. veljače tekuće godine, dospijeva 1. ožujka tekuće godine (kada je prijestupna godina obrok se odnosi na razdoblje od 1. siječnja do 29. veljače tekuće godine),</w:t>
      </w:r>
    </w:p>
    <w:p w14:paraId="2B1F10D9"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obrok za razdoblje od 1. ožujka do 30. travnja tekuće godine, dospijeva 1. svibnja tekuće godine,</w:t>
      </w:r>
    </w:p>
    <w:p w14:paraId="61D62BAC"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obrok za razdoblje od 1. svibnja do 30. lipnja tekuće godine, dospijeva 1. srpnja tekuće godine,</w:t>
      </w:r>
    </w:p>
    <w:p w14:paraId="70565354"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obrok za razdoblje od 1. srpnja do 31. kolovoza tekuće godine, dospijeva 1. rujna tekuće godine,</w:t>
      </w:r>
    </w:p>
    <w:p w14:paraId="3AC7A24B"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obrok za razdoblje od 1. rujna do 31. listopada tekuće godine, dospijeva 1. studenog tekuće godine,</w:t>
      </w:r>
    </w:p>
    <w:p w14:paraId="17A9FCED" w14:textId="77777777" w:rsidR="0067744B" w:rsidRPr="0067744B" w:rsidRDefault="00000000" w:rsidP="0067744B">
      <w:pPr>
        <w:numPr>
          <w:ilvl w:val="0"/>
          <w:numId w:val="6"/>
        </w:numPr>
        <w:suppressAutoHyphens w:val="0"/>
        <w:autoSpaceDN/>
        <w:spacing w:after="160" w:line="271" w:lineRule="auto"/>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obrok za razdoblje od 1. studenog do 31. prosinca tekuće godine, dospijeva 31. prosinca tekuće godine.</w:t>
      </w:r>
    </w:p>
    <w:p w14:paraId="6F58D63A" w14:textId="77777777" w:rsidR="0067744B" w:rsidRPr="0067744B" w:rsidRDefault="0067744B" w:rsidP="0067744B">
      <w:pPr>
        <w:suppressAutoHyphens w:val="0"/>
        <w:autoSpaceDN/>
        <w:spacing w:after="160"/>
        <w:ind w:left="720"/>
        <w:contextualSpacing/>
        <w:textAlignment w:val="auto"/>
        <w:rPr>
          <w:rFonts w:ascii="Arial" w:hAnsi="Arial" w:cs="Arial"/>
          <w:kern w:val="2"/>
          <w14:ligatures w14:val="standardContextual"/>
        </w:rPr>
      </w:pPr>
    </w:p>
    <w:p w14:paraId="3E1F6FDF" w14:textId="77777777" w:rsidR="0067744B" w:rsidRPr="0067744B" w:rsidRDefault="00000000" w:rsidP="0067744B">
      <w:pPr>
        <w:suppressAutoHyphens w:val="0"/>
        <w:autoSpaceDN/>
        <w:spacing w:after="160"/>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(2) U slučaju kada se u tekućoj godini utvrdi da je obaveza plaćanja komunalne naknade nastala ranijih godina, utvrđeni iznos komunalne naknade za razdoblje od dana nastanka obveze do isteka godine koja prethodi godini u kojoj se donosi rješenje plaća se jednokratno, u roku od 15 dana od dana dostave rješenja o komunalnoj naknadi.</w:t>
      </w:r>
    </w:p>
    <w:p w14:paraId="5713A124" w14:textId="77777777" w:rsidR="0067744B" w:rsidRPr="0067744B" w:rsidRDefault="0067744B" w:rsidP="0067744B">
      <w:pPr>
        <w:suppressAutoHyphens w:val="0"/>
        <w:autoSpaceDN/>
        <w:spacing w:after="160"/>
        <w:contextualSpacing/>
        <w:jc w:val="both"/>
        <w:textAlignment w:val="auto"/>
        <w:rPr>
          <w:rFonts w:ascii="Arial" w:hAnsi="Arial" w:cs="Arial"/>
          <w:kern w:val="2"/>
          <w14:ligatures w14:val="standardContextual"/>
        </w:rPr>
      </w:pPr>
    </w:p>
    <w:p w14:paraId="2719C7D5" w14:textId="77777777" w:rsidR="0067744B" w:rsidRPr="0067744B" w:rsidRDefault="00000000" w:rsidP="0067744B">
      <w:pPr>
        <w:suppressAutoHyphens w:val="0"/>
        <w:autoSpaceDN/>
        <w:spacing w:after="160"/>
        <w:contextualSpacing/>
        <w:jc w:val="both"/>
        <w:textAlignment w:val="auto"/>
        <w:rPr>
          <w:rFonts w:ascii="Arial" w:hAnsi="Arial" w:cs="Arial"/>
          <w:kern w:val="2"/>
          <w14:ligatures w14:val="standardContextual"/>
        </w:rPr>
      </w:pPr>
      <w:r w:rsidRPr="0067744B">
        <w:rPr>
          <w:rFonts w:ascii="Arial" w:hAnsi="Arial" w:cs="Arial"/>
          <w:kern w:val="2"/>
          <w14:ligatures w14:val="standardContextual"/>
        </w:rPr>
        <w:t>(3) U slučaju kada se u tekućoj godini utvrdi obveza plaćanja komunalne naknade za proteklo razdoblje tekuće godine, komunalna naknada za navedeno razdoblje plaća se jednokratno, u roku od 15 dana od dana dostave rješenja o komunalnoj naknadi.</w:t>
      </w:r>
    </w:p>
    <w:p w14:paraId="2314037B" w14:textId="77777777" w:rsidR="0067744B" w:rsidRPr="0067744B" w:rsidRDefault="0067744B" w:rsidP="0067744B">
      <w:pPr>
        <w:suppressAutoHyphens w:val="0"/>
        <w:autoSpaceDN/>
        <w:spacing w:after="160"/>
        <w:contextualSpacing/>
        <w:jc w:val="both"/>
        <w:textAlignment w:val="auto"/>
        <w:rPr>
          <w:rFonts w:ascii="Arial" w:hAnsi="Arial" w:cs="Arial"/>
          <w:kern w:val="2"/>
          <w14:ligatures w14:val="standardContextual"/>
        </w:rPr>
      </w:pPr>
    </w:p>
    <w:p w14:paraId="51D65C00"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(4) Obvezniku komunalne naknade, koji pojedini dospjeli iznos nije platio u propisanom roku, obračunavaju se zakonske zatezne kamate po stopi propisanoj za nepravovremene uplate javnih prihoda.</w:t>
      </w:r>
    </w:p>
    <w:p w14:paraId="27944F6F" w14:textId="77777777" w:rsidR="0067744B" w:rsidRPr="0067744B" w:rsidRDefault="00000000" w:rsidP="0067744B">
      <w:pPr>
        <w:suppressAutoHyphens w:val="0"/>
        <w:autoSpaceDN/>
        <w:spacing w:after="160"/>
        <w:jc w:val="both"/>
        <w:textAlignment w:val="auto"/>
        <w:rPr>
          <w:rFonts w:ascii="Arial" w:hAnsi="Arial" w:cs="Arial"/>
          <w:b/>
          <w:bCs/>
          <w:kern w:val="2"/>
          <w14:ligatures w14:val="standardContextual"/>
        </w:rPr>
      </w:pPr>
      <w:r w:rsidRPr="0067744B">
        <w:rPr>
          <w:rFonts w:ascii="Arial" w:hAnsi="Arial" w:cs="Arial"/>
          <w:b/>
          <w:bCs/>
          <w:kern w:val="2"/>
          <w14:ligatures w14:val="standardContextual"/>
        </w:rPr>
        <w:t>IV. OSLOBAĐANJE OD OBVEZE PLAĆANJA KOMUNALNE NAKNADE</w:t>
      </w:r>
    </w:p>
    <w:p w14:paraId="7FB80A38"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17.</w:t>
      </w:r>
    </w:p>
    <w:p w14:paraId="526D0FB0"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(1) Od obveze plaćanja komunalne naknade u potpunosti se oslobađaju nekretnine važne za Općinu Jelenje kako slijedi:</w:t>
      </w:r>
    </w:p>
    <w:p w14:paraId="3CFFAAD4"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1. nekretnine u vlasništvu Općine Jelenje ili nekretnine dane na korištenje Općini Jelenje,</w:t>
      </w:r>
    </w:p>
    <w:p w14:paraId="37496354"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2. nekretnine u kojima obavljaju djelatnosti trgovačka društva, javne ustanove i druge pravne osobe, kojima je osnivač i vlasnik Općina Jelenje,</w:t>
      </w:r>
    </w:p>
    <w:p w14:paraId="15745EF7"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3. nekretnine u kojima trgovačka društva, javne ustanove i druge pravne osobe iz oblasti javnih</w:t>
      </w:r>
    </w:p>
    <w:p w14:paraId="2C6BEE37"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potreba obavljaju djelatnost koja se po zakonu financira iz Općine Jelenje,</w:t>
      </w:r>
    </w:p>
    <w:p w14:paraId="439E8E92"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4. nekretnine koje se koriste za obavljanje vatrogasne djelatnosti i</w:t>
      </w:r>
    </w:p>
    <w:p w14:paraId="34D041AB"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5. nekretnine koje koriste pravne osobe koje obavljaju djelatnosti javnog predškolskog, osnovnoškolskog i srednjoškolskog obrazovanja.</w:t>
      </w:r>
    </w:p>
    <w:p w14:paraId="347413AA" w14:textId="77777777" w:rsidR="0067744B" w:rsidRPr="0067744B" w:rsidRDefault="00000000" w:rsidP="0067744B">
      <w:pPr>
        <w:suppressAutoHyphens w:val="0"/>
        <w:autoSpaceDN/>
        <w:spacing w:after="0"/>
        <w:jc w:val="both"/>
        <w:textAlignment w:val="auto"/>
        <w:rPr>
          <w:rFonts w:ascii="Arial" w:hAnsi="Arial" w:cs="Arial"/>
          <w:kern w:val="2"/>
          <w14:ligatures w14:val="standardContextual"/>
        </w:rPr>
      </w:pPr>
      <w:r w:rsidRPr="0067744B">
        <w:rPr>
          <w:rFonts w:ascii="Arial" w:hAnsi="Arial" w:cs="Arial"/>
          <w:kern w:val="2"/>
          <w14:ligatures w14:val="standardContextual"/>
        </w:rPr>
        <w:t>(2) Od obveze plaćanja komunalne naknade neće se osloboditi korisnici ili vlasnici nekretnina iz stavka 1. ovog članka ako te nekretnine daju u najam, podnajam, zakup, podzakup ili na privremeno korištenje drugim pravnim ili fizičkim osobama.</w:t>
      </w:r>
    </w:p>
    <w:p w14:paraId="642332BA"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(3) Komunalna naknada ne plaća se i u slučaju kada je to propisano posebnim zakonima.</w:t>
      </w:r>
    </w:p>
    <w:p w14:paraId="355DFED6"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7206157B"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18.</w:t>
      </w:r>
    </w:p>
    <w:p w14:paraId="6E73034C"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lastRenderedPageBreak/>
        <w:t>Jedinstveni upravni odjel Općine Jelenje donosi rješenje o privremenom, te potpunom ili djelomičnom oslobađanju od plaćanja komunalne naknade u skladu s Odlukom o socijalnoj skrbi Općine Jelenje, za tekuću godinu.</w:t>
      </w:r>
    </w:p>
    <w:p w14:paraId="4D525EF0"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6C10FF6B" w14:textId="77777777" w:rsidR="0067744B" w:rsidRPr="0067744B" w:rsidRDefault="00000000" w:rsidP="0067744B">
      <w:pPr>
        <w:suppressAutoHyphens w:val="0"/>
        <w:autoSpaceDN/>
        <w:spacing w:after="160"/>
        <w:jc w:val="both"/>
        <w:textAlignment w:val="auto"/>
        <w:rPr>
          <w:rFonts w:ascii="Arial" w:hAnsi="Arial" w:cs="Arial"/>
          <w:b/>
          <w:bCs/>
          <w:kern w:val="2"/>
          <w14:ligatures w14:val="standardContextual"/>
        </w:rPr>
      </w:pPr>
      <w:r w:rsidRPr="0067744B">
        <w:rPr>
          <w:rFonts w:ascii="Arial" w:hAnsi="Arial" w:cs="Arial"/>
          <w:b/>
          <w:bCs/>
          <w:kern w:val="2"/>
          <w14:ligatures w14:val="standardContextual"/>
        </w:rPr>
        <w:t>V. PRIJELAZNE I ZAVRŠNE ODREDBE</w:t>
      </w:r>
    </w:p>
    <w:p w14:paraId="63238ABA" w14:textId="77777777" w:rsidR="0067744B" w:rsidRPr="0067744B" w:rsidRDefault="00000000" w:rsidP="0067744B">
      <w:pPr>
        <w:suppressAutoHyphens w:val="0"/>
        <w:autoSpaceDN/>
        <w:spacing w:after="160"/>
        <w:jc w:val="center"/>
        <w:textAlignment w:val="auto"/>
        <w:rPr>
          <w:rFonts w:ascii="Arial" w:hAnsi="Arial" w:cs="Arial"/>
          <w:b/>
          <w:bCs/>
          <w:kern w:val="2"/>
          <w14:ligatures w14:val="standardContextual"/>
        </w:rPr>
      </w:pPr>
      <w:r w:rsidRPr="0067744B">
        <w:rPr>
          <w:rFonts w:ascii="Arial" w:hAnsi="Arial" w:cs="Arial"/>
          <w:b/>
          <w:bCs/>
          <w:kern w:val="2"/>
          <w14:ligatures w14:val="standardContextual"/>
        </w:rPr>
        <w:t>Članak 19.</w:t>
      </w:r>
    </w:p>
    <w:p w14:paraId="658E0046"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(1) Danom stupanja na snagu ove Odluke prestaje važiti Odluka o komunalnoj naknadi („Službene novine Općine Jelenje“ broj 24/19.)</w:t>
      </w:r>
    </w:p>
    <w:p w14:paraId="13AD5D31" w14:textId="77777777" w:rsidR="0067744B" w:rsidRPr="0067744B" w:rsidRDefault="00000000" w:rsidP="0067744B">
      <w:pPr>
        <w:suppressAutoHyphens w:val="0"/>
        <w:autoSpaceDN/>
        <w:spacing w:after="160"/>
        <w:jc w:val="both"/>
        <w:textAlignment w:val="auto"/>
        <w:rPr>
          <w:rFonts w:ascii="Arial" w:hAnsi="Arial" w:cs="Arial"/>
          <w:kern w:val="2"/>
          <w14:ligatures w14:val="standardContextual"/>
        </w:rPr>
      </w:pPr>
      <w:r w:rsidRPr="0067744B">
        <w:rPr>
          <w:rFonts w:ascii="Arial" w:hAnsi="Arial" w:cs="Arial"/>
          <w:kern w:val="2"/>
          <w14:ligatures w14:val="standardContextual"/>
        </w:rPr>
        <w:t xml:space="preserve">(2) </w:t>
      </w:r>
      <w:bookmarkStart w:id="0" w:name="_Hlk210805468"/>
      <w:r w:rsidRPr="0067744B">
        <w:rPr>
          <w:rFonts w:ascii="Arial" w:hAnsi="Arial" w:cs="Arial"/>
          <w:kern w:val="2"/>
          <w14:ligatures w14:val="standardContextual"/>
        </w:rPr>
        <w:t xml:space="preserve">Ova Odluka objavit će se u „Službenim novinama Općine Jelenje“, a stupa na snagu </w:t>
      </w:r>
      <w:bookmarkEnd w:id="0"/>
      <w:r w:rsidRPr="0067744B">
        <w:rPr>
          <w:rFonts w:ascii="Arial" w:hAnsi="Arial" w:cs="Arial"/>
          <w:kern w:val="2"/>
          <w14:ligatures w14:val="standardContextual"/>
        </w:rPr>
        <w:t>1. siječnja 2026. godine.</w:t>
      </w:r>
    </w:p>
    <w:p w14:paraId="3F91B06A" w14:textId="77777777" w:rsidR="0067744B" w:rsidRPr="0067744B" w:rsidRDefault="0067744B" w:rsidP="0067744B">
      <w:pPr>
        <w:suppressAutoHyphens w:val="0"/>
        <w:autoSpaceDN/>
        <w:spacing w:after="0"/>
        <w:jc w:val="both"/>
        <w:textAlignment w:val="auto"/>
        <w:rPr>
          <w:rFonts w:ascii="Arial" w:hAnsi="Arial" w:cs="Arial"/>
          <w:kern w:val="2"/>
          <w14:ligatures w14:val="standardContextual"/>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2"/>
        <w:gridCol w:w="3763"/>
      </w:tblGrid>
      <w:tr w:rsidR="000B3B7D" w14:paraId="36700253" w14:textId="77777777" w:rsidTr="00773553">
        <w:tc>
          <w:tcPr>
            <w:tcW w:w="1023" w:type="dxa"/>
            <w:hideMark/>
          </w:tcPr>
          <w:p w14:paraId="3A43D149" w14:textId="77777777" w:rsidR="00B50B6C" w:rsidRPr="004807FC" w:rsidRDefault="00000000" w:rsidP="00773553">
            <w:pPr>
              <w:jc w:val="both"/>
              <w:rPr>
                <w:rFonts w:ascii="Arial" w:eastAsia="Times New Roman" w:hAnsi="Arial" w:cs="Arial"/>
                <w:bCs/>
                <w:lang w:eastAsia="hr-HR"/>
              </w:rPr>
            </w:pPr>
            <w:r w:rsidRPr="004807FC">
              <w:rPr>
                <w:rFonts w:ascii="Arial" w:eastAsia="Times New Roman" w:hAnsi="Arial" w:cs="Arial"/>
                <w:bCs/>
                <w:lang w:eastAsia="hr-HR"/>
              </w:rPr>
              <w:t>KLASA:</w:t>
            </w:r>
          </w:p>
        </w:tc>
        <w:tc>
          <w:tcPr>
            <w:tcW w:w="3763" w:type="dxa"/>
            <w:hideMark/>
          </w:tcPr>
          <w:p w14:paraId="56C09DBB" w14:textId="77777777" w:rsidR="00B50B6C" w:rsidRPr="004807FC" w:rsidRDefault="00000000" w:rsidP="00773553">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Klasa"/>
                  <w:enabled/>
                  <w:calcOnExit w:val="0"/>
                  <w:textInput/>
                </w:ffData>
              </w:fldChar>
            </w:r>
            <w:bookmarkStart w:id="1" w:name="Klasa"/>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024-01/25-01/10</w:t>
            </w:r>
            <w:r w:rsidRPr="004807FC">
              <w:rPr>
                <w:rFonts w:ascii="Arial" w:hAnsi="Arial" w:cs="Arial"/>
              </w:rPr>
              <w:fldChar w:fldCharType="end"/>
            </w:r>
            <w:bookmarkEnd w:id="1"/>
          </w:p>
        </w:tc>
      </w:tr>
      <w:tr w:rsidR="000B3B7D" w14:paraId="5C104C9D" w14:textId="77777777" w:rsidTr="00773553">
        <w:tc>
          <w:tcPr>
            <w:tcW w:w="1023" w:type="dxa"/>
            <w:hideMark/>
          </w:tcPr>
          <w:p w14:paraId="0215F981" w14:textId="77777777" w:rsidR="00B50B6C" w:rsidRPr="004807FC" w:rsidRDefault="00000000" w:rsidP="00773553">
            <w:pPr>
              <w:jc w:val="both"/>
              <w:rPr>
                <w:rFonts w:ascii="Arial" w:eastAsia="Times New Roman" w:hAnsi="Arial" w:cs="Arial"/>
                <w:bCs/>
                <w:lang w:eastAsia="hr-HR"/>
              </w:rPr>
            </w:pPr>
            <w:r w:rsidRPr="004807FC">
              <w:rPr>
                <w:rFonts w:ascii="Arial" w:eastAsia="Times New Roman" w:hAnsi="Arial" w:cs="Arial"/>
                <w:bCs/>
                <w:lang w:eastAsia="hr-HR"/>
              </w:rPr>
              <w:t>URBROJ:</w:t>
            </w:r>
          </w:p>
        </w:tc>
        <w:tc>
          <w:tcPr>
            <w:tcW w:w="3763" w:type="dxa"/>
            <w:hideMark/>
          </w:tcPr>
          <w:p w14:paraId="20118B0E" w14:textId="77777777" w:rsidR="00B50B6C" w:rsidRPr="004807FC" w:rsidRDefault="00000000" w:rsidP="00773553">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Urbroj"/>
                  <w:enabled/>
                  <w:calcOnExit w:val="0"/>
                  <w:textInput/>
                </w:ffData>
              </w:fldChar>
            </w:r>
            <w:bookmarkStart w:id="2" w:name="Urbroj"/>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2170-20-03-01/03-25-30</w:t>
            </w:r>
            <w:r w:rsidRPr="004807FC">
              <w:rPr>
                <w:rFonts w:ascii="Arial" w:hAnsi="Arial" w:cs="Arial"/>
              </w:rPr>
              <w:fldChar w:fldCharType="end"/>
            </w:r>
            <w:bookmarkEnd w:id="2"/>
          </w:p>
        </w:tc>
      </w:tr>
      <w:tr w:rsidR="000B3B7D" w14:paraId="51D494D6" w14:textId="77777777" w:rsidTr="00773553">
        <w:tc>
          <w:tcPr>
            <w:tcW w:w="1023" w:type="dxa"/>
            <w:hideMark/>
          </w:tcPr>
          <w:p w14:paraId="7857FA2C" w14:textId="77777777" w:rsidR="00B50B6C" w:rsidRPr="004807FC" w:rsidRDefault="00000000" w:rsidP="00773553">
            <w:pPr>
              <w:jc w:val="both"/>
              <w:rPr>
                <w:rFonts w:ascii="Arial" w:eastAsia="Times New Roman" w:hAnsi="Arial" w:cs="Arial"/>
                <w:bCs/>
                <w:lang w:eastAsia="hr-HR"/>
              </w:rPr>
            </w:pPr>
            <w:r w:rsidRPr="004807FC">
              <w:rPr>
                <w:rFonts w:ascii="Arial" w:eastAsia="Times New Roman" w:hAnsi="Arial" w:cs="Arial"/>
                <w:bCs/>
                <w:lang w:eastAsia="hr-HR"/>
              </w:rPr>
              <w:t>Dražice,</w:t>
            </w:r>
          </w:p>
        </w:tc>
        <w:tc>
          <w:tcPr>
            <w:tcW w:w="3763" w:type="dxa"/>
            <w:hideMark/>
          </w:tcPr>
          <w:p w14:paraId="622573B3" w14:textId="77777777" w:rsidR="00B50B6C" w:rsidRPr="004807FC" w:rsidRDefault="00000000" w:rsidP="00773553">
            <w:pPr>
              <w:jc w:val="both"/>
              <w:rPr>
                <w:rFonts w:ascii="Arial" w:eastAsia="Times New Roman" w:hAnsi="Arial" w:cs="Arial"/>
                <w:b/>
                <w:bCs/>
                <w:lang w:eastAsia="hr-HR"/>
              </w:rPr>
            </w:pPr>
            <w:r w:rsidRPr="004807FC">
              <w:rPr>
                <w:rFonts w:ascii="Arial" w:eastAsia="Times New Roman" w:hAnsi="Arial" w:cs="Arial"/>
                <w:b/>
                <w:bCs/>
                <w:lang w:eastAsia="hr-HR"/>
              </w:rPr>
              <w:fldChar w:fldCharType="begin">
                <w:ffData>
                  <w:name w:val="Datum"/>
                  <w:enabled/>
                  <w:calcOnExit w:val="0"/>
                  <w:textInput/>
                </w:ffData>
              </w:fldChar>
            </w:r>
            <w:bookmarkStart w:id="3" w:name="Datum"/>
            <w:r w:rsidRPr="004807FC">
              <w:rPr>
                <w:rFonts w:ascii="Arial" w:eastAsia="Times New Roman" w:hAnsi="Arial" w:cs="Arial"/>
                <w:b/>
                <w:bCs/>
                <w:lang w:eastAsia="hr-HR"/>
              </w:rPr>
              <w:instrText xml:space="preserve"> FORMTEXT </w:instrText>
            </w:r>
            <w:r w:rsidRPr="004807FC">
              <w:rPr>
                <w:rFonts w:ascii="Arial" w:eastAsia="Times New Roman" w:hAnsi="Arial" w:cs="Arial"/>
                <w:b/>
                <w:bCs/>
                <w:lang w:eastAsia="hr-HR"/>
              </w:rPr>
            </w:r>
            <w:r w:rsidRPr="004807FC">
              <w:rPr>
                <w:rFonts w:ascii="Arial" w:eastAsia="Times New Roman" w:hAnsi="Arial" w:cs="Arial"/>
                <w:b/>
                <w:bCs/>
                <w:lang w:eastAsia="hr-HR"/>
              </w:rPr>
              <w:fldChar w:fldCharType="separate"/>
            </w:r>
            <w:r w:rsidRPr="004807FC">
              <w:rPr>
                <w:rFonts w:ascii="Arial" w:eastAsia="Times New Roman" w:hAnsi="Arial" w:cs="Arial"/>
                <w:b/>
                <w:bCs/>
                <w:noProof/>
                <w:lang w:eastAsia="hr-HR"/>
              </w:rPr>
              <w:t>24. studenog 2025.</w:t>
            </w:r>
            <w:r w:rsidRPr="004807FC">
              <w:rPr>
                <w:rFonts w:ascii="Arial" w:hAnsi="Arial" w:cs="Arial"/>
              </w:rPr>
              <w:fldChar w:fldCharType="end"/>
            </w:r>
            <w:bookmarkEnd w:id="3"/>
          </w:p>
        </w:tc>
      </w:tr>
    </w:tbl>
    <w:p w14:paraId="3CE8EA43"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4E6FDDDC" w14:textId="77777777" w:rsidR="0067744B" w:rsidRPr="0067744B" w:rsidRDefault="0067744B" w:rsidP="0067744B">
      <w:pPr>
        <w:suppressAutoHyphens w:val="0"/>
        <w:autoSpaceDN/>
        <w:spacing w:after="0"/>
        <w:jc w:val="right"/>
        <w:textAlignment w:val="auto"/>
        <w:rPr>
          <w:rFonts w:ascii="Arial" w:hAnsi="Arial" w:cs="Arial"/>
          <w:kern w:val="2"/>
          <w14:ligatures w14:val="standardContextual"/>
        </w:rPr>
      </w:pPr>
    </w:p>
    <w:p w14:paraId="349F32BD" w14:textId="77777777" w:rsidR="0067744B" w:rsidRPr="0067744B" w:rsidRDefault="00000000" w:rsidP="0067744B">
      <w:pPr>
        <w:suppressAutoHyphens w:val="0"/>
        <w:autoSpaceDN/>
        <w:spacing w:after="0"/>
        <w:jc w:val="right"/>
        <w:textAlignment w:val="auto"/>
        <w:rPr>
          <w:rFonts w:ascii="Arial" w:hAnsi="Arial" w:cs="Arial"/>
          <w:kern w:val="2"/>
          <w14:ligatures w14:val="standardContextual"/>
        </w:rPr>
      </w:pPr>
      <w:r w:rsidRPr="0067744B">
        <w:rPr>
          <w:rFonts w:ascii="Arial" w:hAnsi="Arial" w:cs="Arial"/>
          <w:kern w:val="2"/>
          <w14:ligatures w14:val="standardContextual"/>
        </w:rPr>
        <w:t xml:space="preserve">PREDSJEDNICA OPĆINSKOG </w:t>
      </w:r>
    </w:p>
    <w:p w14:paraId="5A6A5320" w14:textId="77777777" w:rsidR="0067744B" w:rsidRPr="0067744B" w:rsidRDefault="00000000" w:rsidP="0067744B">
      <w:pPr>
        <w:suppressAutoHyphens w:val="0"/>
        <w:autoSpaceDN/>
        <w:spacing w:after="0"/>
        <w:jc w:val="right"/>
        <w:textAlignment w:val="auto"/>
        <w:rPr>
          <w:rFonts w:ascii="Arial" w:hAnsi="Arial" w:cs="Arial"/>
          <w:kern w:val="2"/>
          <w14:ligatures w14:val="standardContextual"/>
        </w:rPr>
      </w:pPr>
      <w:r w:rsidRPr="0067744B">
        <w:rPr>
          <w:rFonts w:ascii="Arial" w:hAnsi="Arial" w:cs="Arial"/>
          <w:kern w:val="2"/>
          <w14:ligatures w14:val="standardContextual"/>
        </w:rPr>
        <w:t xml:space="preserve">VIJEĆA OPĆINE JELENJE </w:t>
      </w:r>
    </w:p>
    <w:p w14:paraId="3C03E3FE" w14:textId="77777777" w:rsidR="0067744B" w:rsidRPr="0067744B" w:rsidRDefault="00000000" w:rsidP="0067744B">
      <w:pPr>
        <w:suppressAutoHyphens w:val="0"/>
        <w:autoSpaceDN/>
        <w:spacing w:after="0"/>
        <w:jc w:val="right"/>
        <w:textAlignment w:val="auto"/>
        <w:rPr>
          <w:rFonts w:ascii="Arial" w:hAnsi="Arial" w:cs="Arial"/>
          <w:kern w:val="2"/>
          <w14:ligatures w14:val="standardContextual"/>
        </w:rPr>
      </w:pPr>
      <w:r w:rsidRPr="0067744B">
        <w:rPr>
          <w:rFonts w:ascii="Arial" w:hAnsi="Arial" w:cs="Arial"/>
          <w:kern w:val="2"/>
          <w14:ligatures w14:val="standardContextual"/>
        </w:rPr>
        <w:t xml:space="preserve">Izabela </w:t>
      </w:r>
      <w:proofErr w:type="spellStart"/>
      <w:r w:rsidRPr="0067744B">
        <w:rPr>
          <w:rFonts w:ascii="Arial" w:hAnsi="Arial" w:cs="Arial"/>
          <w:kern w:val="2"/>
          <w14:ligatures w14:val="standardContextual"/>
        </w:rPr>
        <w:t>Nemaz</w:t>
      </w:r>
      <w:proofErr w:type="spellEnd"/>
    </w:p>
    <w:p w14:paraId="7C4E5A4A"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64EAD2F9"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1FAC91AC" w14:textId="77777777" w:rsidR="0067744B" w:rsidRPr="0067744B" w:rsidRDefault="0067744B" w:rsidP="0067744B">
      <w:pPr>
        <w:suppressAutoHyphens w:val="0"/>
        <w:autoSpaceDN/>
        <w:spacing w:after="160"/>
        <w:jc w:val="both"/>
        <w:textAlignment w:val="auto"/>
        <w:rPr>
          <w:rFonts w:ascii="Arial" w:hAnsi="Arial" w:cs="Arial"/>
          <w:b/>
          <w:bCs/>
          <w:kern w:val="2"/>
          <w14:ligatures w14:val="standardContextual"/>
        </w:rPr>
      </w:pPr>
    </w:p>
    <w:p w14:paraId="3A5D2696" w14:textId="77777777" w:rsidR="0067744B" w:rsidRPr="0067744B" w:rsidRDefault="0067744B" w:rsidP="0067744B">
      <w:pPr>
        <w:suppressAutoHyphens w:val="0"/>
        <w:autoSpaceDN/>
        <w:spacing w:after="160"/>
        <w:jc w:val="both"/>
        <w:textAlignment w:val="auto"/>
        <w:rPr>
          <w:rFonts w:ascii="Arial" w:hAnsi="Arial" w:cs="Arial"/>
          <w:kern w:val="2"/>
          <w14:ligatures w14:val="standardContextual"/>
        </w:rPr>
      </w:pPr>
    </w:p>
    <w:p w14:paraId="229E1DB0" w14:textId="77777777" w:rsidR="0067744B" w:rsidRPr="0067744B" w:rsidRDefault="0067744B" w:rsidP="0067744B">
      <w:pPr>
        <w:suppressAutoHyphens w:val="0"/>
        <w:autoSpaceDN/>
        <w:spacing w:after="303" w:line="265" w:lineRule="auto"/>
        <w:ind w:right="-15"/>
        <w:jc w:val="both"/>
        <w:textAlignment w:val="auto"/>
        <w:rPr>
          <w:rFonts w:ascii="Arial" w:eastAsia="Arial" w:hAnsi="Arial" w:cs="Arial"/>
          <w:color w:val="000000"/>
          <w:kern w:val="2"/>
          <w:szCs w:val="24"/>
          <w:lang w:eastAsia="hr-HR"/>
          <w14:ligatures w14:val="standardContextual"/>
        </w:rPr>
      </w:pPr>
    </w:p>
    <w:p w14:paraId="26E5B092" w14:textId="77777777" w:rsidR="00496E95" w:rsidRDefault="00496E95" w:rsidP="00B349D1">
      <w:pPr>
        <w:spacing w:after="0"/>
        <w:rPr>
          <w:rFonts w:ascii="Arial" w:eastAsia="Times New Roman" w:hAnsi="Arial" w:cs="Arial"/>
          <w:lang w:eastAsia="hr-HR"/>
        </w:rPr>
      </w:pPr>
    </w:p>
    <w:sectPr w:rsidR="00496E95" w:rsidSect="002B26D0">
      <w:pgSz w:w="11906" w:h="16838"/>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24B9C"/>
    <w:multiLevelType w:val="hybridMultilevel"/>
    <w:tmpl w:val="618E0BF0"/>
    <w:lvl w:ilvl="0" w:tplc="1766F71C">
      <w:start w:val="1"/>
      <w:numFmt w:val="decimal"/>
      <w:lvlText w:val="%1."/>
      <w:lvlJc w:val="left"/>
      <w:pPr>
        <w:ind w:left="720" w:hanging="360"/>
      </w:pPr>
      <w:rPr>
        <w:rFonts w:hint="default"/>
      </w:rPr>
    </w:lvl>
    <w:lvl w:ilvl="1" w:tplc="9A60BC72" w:tentative="1">
      <w:start w:val="1"/>
      <w:numFmt w:val="lowerLetter"/>
      <w:lvlText w:val="%2."/>
      <w:lvlJc w:val="left"/>
      <w:pPr>
        <w:ind w:left="1440" w:hanging="360"/>
      </w:pPr>
    </w:lvl>
    <w:lvl w:ilvl="2" w:tplc="10725FCC" w:tentative="1">
      <w:start w:val="1"/>
      <w:numFmt w:val="lowerRoman"/>
      <w:lvlText w:val="%3."/>
      <w:lvlJc w:val="right"/>
      <w:pPr>
        <w:ind w:left="2160" w:hanging="180"/>
      </w:pPr>
    </w:lvl>
    <w:lvl w:ilvl="3" w:tplc="997A7F10" w:tentative="1">
      <w:start w:val="1"/>
      <w:numFmt w:val="decimal"/>
      <w:lvlText w:val="%4."/>
      <w:lvlJc w:val="left"/>
      <w:pPr>
        <w:ind w:left="2880" w:hanging="360"/>
      </w:pPr>
    </w:lvl>
    <w:lvl w:ilvl="4" w:tplc="E8BE632A" w:tentative="1">
      <w:start w:val="1"/>
      <w:numFmt w:val="lowerLetter"/>
      <w:lvlText w:val="%5."/>
      <w:lvlJc w:val="left"/>
      <w:pPr>
        <w:ind w:left="3600" w:hanging="360"/>
      </w:pPr>
    </w:lvl>
    <w:lvl w:ilvl="5" w:tplc="DE449576" w:tentative="1">
      <w:start w:val="1"/>
      <w:numFmt w:val="lowerRoman"/>
      <w:lvlText w:val="%6."/>
      <w:lvlJc w:val="right"/>
      <w:pPr>
        <w:ind w:left="4320" w:hanging="180"/>
      </w:pPr>
    </w:lvl>
    <w:lvl w:ilvl="6" w:tplc="71D09152" w:tentative="1">
      <w:start w:val="1"/>
      <w:numFmt w:val="decimal"/>
      <w:lvlText w:val="%7."/>
      <w:lvlJc w:val="left"/>
      <w:pPr>
        <w:ind w:left="5040" w:hanging="360"/>
      </w:pPr>
    </w:lvl>
    <w:lvl w:ilvl="7" w:tplc="621E9DA6" w:tentative="1">
      <w:start w:val="1"/>
      <w:numFmt w:val="lowerLetter"/>
      <w:lvlText w:val="%8."/>
      <w:lvlJc w:val="left"/>
      <w:pPr>
        <w:ind w:left="5760" w:hanging="360"/>
      </w:pPr>
    </w:lvl>
    <w:lvl w:ilvl="8" w:tplc="637C2A98" w:tentative="1">
      <w:start w:val="1"/>
      <w:numFmt w:val="lowerRoman"/>
      <w:lvlText w:val="%9."/>
      <w:lvlJc w:val="right"/>
      <w:pPr>
        <w:ind w:left="6480" w:hanging="180"/>
      </w:pPr>
    </w:lvl>
  </w:abstractNum>
  <w:abstractNum w:abstractNumId="1" w15:restartNumberingAfterBreak="0">
    <w:nsid w:val="29FC72E3"/>
    <w:multiLevelType w:val="hybridMultilevel"/>
    <w:tmpl w:val="AFB412E6"/>
    <w:lvl w:ilvl="0" w:tplc="26D086F8">
      <w:numFmt w:val="bullet"/>
      <w:lvlText w:val="-"/>
      <w:lvlJc w:val="left"/>
      <w:pPr>
        <w:ind w:left="720" w:hanging="360"/>
      </w:pPr>
      <w:rPr>
        <w:rFonts w:ascii="Times New Roman" w:eastAsia="Times New Roman" w:hAnsi="Times New Roman" w:cs="Times New Roman" w:hint="default"/>
      </w:rPr>
    </w:lvl>
    <w:lvl w:ilvl="1" w:tplc="7462651A" w:tentative="1">
      <w:start w:val="1"/>
      <w:numFmt w:val="bullet"/>
      <w:lvlText w:val="o"/>
      <w:lvlJc w:val="left"/>
      <w:pPr>
        <w:ind w:left="1440" w:hanging="360"/>
      </w:pPr>
      <w:rPr>
        <w:rFonts w:ascii="Courier New" w:hAnsi="Courier New" w:cs="Courier New" w:hint="default"/>
      </w:rPr>
    </w:lvl>
    <w:lvl w:ilvl="2" w:tplc="F5D0F3AC" w:tentative="1">
      <w:start w:val="1"/>
      <w:numFmt w:val="bullet"/>
      <w:lvlText w:val=""/>
      <w:lvlJc w:val="left"/>
      <w:pPr>
        <w:ind w:left="2160" w:hanging="360"/>
      </w:pPr>
      <w:rPr>
        <w:rFonts w:ascii="Wingdings" w:hAnsi="Wingdings" w:hint="default"/>
      </w:rPr>
    </w:lvl>
    <w:lvl w:ilvl="3" w:tplc="AE7C6B52" w:tentative="1">
      <w:start w:val="1"/>
      <w:numFmt w:val="bullet"/>
      <w:lvlText w:val=""/>
      <w:lvlJc w:val="left"/>
      <w:pPr>
        <w:ind w:left="2880" w:hanging="360"/>
      </w:pPr>
      <w:rPr>
        <w:rFonts w:ascii="Symbol" w:hAnsi="Symbol" w:hint="default"/>
      </w:rPr>
    </w:lvl>
    <w:lvl w:ilvl="4" w:tplc="A64C1FBA" w:tentative="1">
      <w:start w:val="1"/>
      <w:numFmt w:val="bullet"/>
      <w:lvlText w:val="o"/>
      <w:lvlJc w:val="left"/>
      <w:pPr>
        <w:ind w:left="3600" w:hanging="360"/>
      </w:pPr>
      <w:rPr>
        <w:rFonts w:ascii="Courier New" w:hAnsi="Courier New" w:cs="Courier New" w:hint="default"/>
      </w:rPr>
    </w:lvl>
    <w:lvl w:ilvl="5" w:tplc="75DC1446" w:tentative="1">
      <w:start w:val="1"/>
      <w:numFmt w:val="bullet"/>
      <w:lvlText w:val=""/>
      <w:lvlJc w:val="left"/>
      <w:pPr>
        <w:ind w:left="4320" w:hanging="360"/>
      </w:pPr>
      <w:rPr>
        <w:rFonts w:ascii="Wingdings" w:hAnsi="Wingdings" w:hint="default"/>
      </w:rPr>
    </w:lvl>
    <w:lvl w:ilvl="6" w:tplc="15942E1C" w:tentative="1">
      <w:start w:val="1"/>
      <w:numFmt w:val="bullet"/>
      <w:lvlText w:val=""/>
      <w:lvlJc w:val="left"/>
      <w:pPr>
        <w:ind w:left="5040" w:hanging="360"/>
      </w:pPr>
      <w:rPr>
        <w:rFonts w:ascii="Symbol" w:hAnsi="Symbol" w:hint="default"/>
      </w:rPr>
    </w:lvl>
    <w:lvl w:ilvl="7" w:tplc="4EC2FDEA" w:tentative="1">
      <w:start w:val="1"/>
      <w:numFmt w:val="bullet"/>
      <w:lvlText w:val="o"/>
      <w:lvlJc w:val="left"/>
      <w:pPr>
        <w:ind w:left="5760" w:hanging="360"/>
      </w:pPr>
      <w:rPr>
        <w:rFonts w:ascii="Courier New" w:hAnsi="Courier New" w:cs="Courier New" w:hint="default"/>
      </w:rPr>
    </w:lvl>
    <w:lvl w:ilvl="8" w:tplc="BB70469A" w:tentative="1">
      <w:start w:val="1"/>
      <w:numFmt w:val="bullet"/>
      <w:lvlText w:val=""/>
      <w:lvlJc w:val="left"/>
      <w:pPr>
        <w:ind w:left="6480" w:hanging="360"/>
      </w:pPr>
      <w:rPr>
        <w:rFonts w:ascii="Wingdings" w:hAnsi="Wingdings" w:hint="default"/>
      </w:rPr>
    </w:lvl>
  </w:abstractNum>
  <w:abstractNum w:abstractNumId="2" w15:restartNumberingAfterBreak="0">
    <w:nsid w:val="36BD1FFC"/>
    <w:multiLevelType w:val="hybridMultilevel"/>
    <w:tmpl w:val="91A861F4"/>
    <w:lvl w:ilvl="0" w:tplc="D8A23736">
      <w:start w:val="1"/>
      <w:numFmt w:val="upperRoman"/>
      <w:lvlText w:val="%1."/>
      <w:lvlJc w:val="left"/>
      <w:pPr>
        <w:ind w:left="1080" w:hanging="720"/>
      </w:pPr>
      <w:rPr>
        <w:rFonts w:hint="default"/>
      </w:rPr>
    </w:lvl>
    <w:lvl w:ilvl="1" w:tplc="62001D14" w:tentative="1">
      <w:start w:val="1"/>
      <w:numFmt w:val="lowerLetter"/>
      <w:lvlText w:val="%2."/>
      <w:lvlJc w:val="left"/>
      <w:pPr>
        <w:ind w:left="1440" w:hanging="360"/>
      </w:pPr>
    </w:lvl>
    <w:lvl w:ilvl="2" w:tplc="E95AA780" w:tentative="1">
      <w:start w:val="1"/>
      <w:numFmt w:val="lowerRoman"/>
      <w:lvlText w:val="%3."/>
      <w:lvlJc w:val="right"/>
      <w:pPr>
        <w:ind w:left="2160" w:hanging="180"/>
      </w:pPr>
    </w:lvl>
    <w:lvl w:ilvl="3" w:tplc="6756A3CA" w:tentative="1">
      <w:start w:val="1"/>
      <w:numFmt w:val="decimal"/>
      <w:lvlText w:val="%4."/>
      <w:lvlJc w:val="left"/>
      <w:pPr>
        <w:ind w:left="2880" w:hanging="360"/>
      </w:pPr>
    </w:lvl>
    <w:lvl w:ilvl="4" w:tplc="23DE82C4" w:tentative="1">
      <w:start w:val="1"/>
      <w:numFmt w:val="lowerLetter"/>
      <w:lvlText w:val="%5."/>
      <w:lvlJc w:val="left"/>
      <w:pPr>
        <w:ind w:left="3600" w:hanging="360"/>
      </w:pPr>
    </w:lvl>
    <w:lvl w:ilvl="5" w:tplc="02BA09F2" w:tentative="1">
      <w:start w:val="1"/>
      <w:numFmt w:val="lowerRoman"/>
      <w:lvlText w:val="%6."/>
      <w:lvlJc w:val="right"/>
      <w:pPr>
        <w:ind w:left="4320" w:hanging="180"/>
      </w:pPr>
    </w:lvl>
    <w:lvl w:ilvl="6" w:tplc="FC7009E8" w:tentative="1">
      <w:start w:val="1"/>
      <w:numFmt w:val="decimal"/>
      <w:lvlText w:val="%7."/>
      <w:lvlJc w:val="left"/>
      <w:pPr>
        <w:ind w:left="5040" w:hanging="360"/>
      </w:pPr>
    </w:lvl>
    <w:lvl w:ilvl="7" w:tplc="7AAEF100" w:tentative="1">
      <w:start w:val="1"/>
      <w:numFmt w:val="lowerLetter"/>
      <w:lvlText w:val="%8."/>
      <w:lvlJc w:val="left"/>
      <w:pPr>
        <w:ind w:left="5760" w:hanging="360"/>
      </w:pPr>
    </w:lvl>
    <w:lvl w:ilvl="8" w:tplc="19DA0ED4" w:tentative="1">
      <w:start w:val="1"/>
      <w:numFmt w:val="lowerRoman"/>
      <w:lvlText w:val="%9."/>
      <w:lvlJc w:val="right"/>
      <w:pPr>
        <w:ind w:left="6480" w:hanging="180"/>
      </w:pPr>
    </w:lvl>
  </w:abstractNum>
  <w:abstractNum w:abstractNumId="3" w15:restartNumberingAfterBreak="0">
    <w:nsid w:val="40C57468"/>
    <w:multiLevelType w:val="hybridMultilevel"/>
    <w:tmpl w:val="D2AEF6D0"/>
    <w:lvl w:ilvl="0" w:tplc="65FE43C8">
      <w:numFmt w:val="bullet"/>
      <w:lvlText w:val="-"/>
      <w:lvlJc w:val="left"/>
      <w:pPr>
        <w:ind w:left="1380" w:hanging="360"/>
      </w:pPr>
      <w:rPr>
        <w:rFonts w:ascii="Times New Roman" w:eastAsia="Times New Roman" w:hAnsi="Times New Roman" w:cs="Times New Roman" w:hint="default"/>
      </w:rPr>
    </w:lvl>
    <w:lvl w:ilvl="1" w:tplc="9E42BF8E" w:tentative="1">
      <w:start w:val="1"/>
      <w:numFmt w:val="bullet"/>
      <w:lvlText w:val="o"/>
      <w:lvlJc w:val="left"/>
      <w:pPr>
        <w:ind w:left="2100" w:hanging="360"/>
      </w:pPr>
      <w:rPr>
        <w:rFonts w:ascii="Courier New" w:hAnsi="Courier New" w:cs="Courier New" w:hint="default"/>
      </w:rPr>
    </w:lvl>
    <w:lvl w:ilvl="2" w:tplc="3432D382" w:tentative="1">
      <w:start w:val="1"/>
      <w:numFmt w:val="bullet"/>
      <w:lvlText w:val=""/>
      <w:lvlJc w:val="left"/>
      <w:pPr>
        <w:ind w:left="2820" w:hanging="360"/>
      </w:pPr>
      <w:rPr>
        <w:rFonts w:ascii="Wingdings" w:hAnsi="Wingdings" w:hint="default"/>
      </w:rPr>
    </w:lvl>
    <w:lvl w:ilvl="3" w:tplc="CAB88FFA" w:tentative="1">
      <w:start w:val="1"/>
      <w:numFmt w:val="bullet"/>
      <w:lvlText w:val=""/>
      <w:lvlJc w:val="left"/>
      <w:pPr>
        <w:ind w:left="3540" w:hanging="360"/>
      </w:pPr>
      <w:rPr>
        <w:rFonts w:ascii="Symbol" w:hAnsi="Symbol" w:hint="default"/>
      </w:rPr>
    </w:lvl>
    <w:lvl w:ilvl="4" w:tplc="0E8451B2" w:tentative="1">
      <w:start w:val="1"/>
      <w:numFmt w:val="bullet"/>
      <w:lvlText w:val="o"/>
      <w:lvlJc w:val="left"/>
      <w:pPr>
        <w:ind w:left="4260" w:hanging="360"/>
      </w:pPr>
      <w:rPr>
        <w:rFonts w:ascii="Courier New" w:hAnsi="Courier New" w:cs="Courier New" w:hint="default"/>
      </w:rPr>
    </w:lvl>
    <w:lvl w:ilvl="5" w:tplc="95B0FEE6" w:tentative="1">
      <w:start w:val="1"/>
      <w:numFmt w:val="bullet"/>
      <w:lvlText w:val=""/>
      <w:lvlJc w:val="left"/>
      <w:pPr>
        <w:ind w:left="4980" w:hanging="360"/>
      </w:pPr>
      <w:rPr>
        <w:rFonts w:ascii="Wingdings" w:hAnsi="Wingdings" w:hint="default"/>
      </w:rPr>
    </w:lvl>
    <w:lvl w:ilvl="6" w:tplc="8A429D82" w:tentative="1">
      <w:start w:val="1"/>
      <w:numFmt w:val="bullet"/>
      <w:lvlText w:val=""/>
      <w:lvlJc w:val="left"/>
      <w:pPr>
        <w:ind w:left="5700" w:hanging="360"/>
      </w:pPr>
      <w:rPr>
        <w:rFonts w:ascii="Symbol" w:hAnsi="Symbol" w:hint="default"/>
      </w:rPr>
    </w:lvl>
    <w:lvl w:ilvl="7" w:tplc="F67E0578" w:tentative="1">
      <w:start w:val="1"/>
      <w:numFmt w:val="bullet"/>
      <w:lvlText w:val="o"/>
      <w:lvlJc w:val="left"/>
      <w:pPr>
        <w:ind w:left="6420" w:hanging="360"/>
      </w:pPr>
      <w:rPr>
        <w:rFonts w:ascii="Courier New" w:hAnsi="Courier New" w:cs="Courier New" w:hint="default"/>
      </w:rPr>
    </w:lvl>
    <w:lvl w:ilvl="8" w:tplc="3214AC54" w:tentative="1">
      <w:start w:val="1"/>
      <w:numFmt w:val="bullet"/>
      <w:lvlText w:val=""/>
      <w:lvlJc w:val="left"/>
      <w:pPr>
        <w:ind w:left="7140" w:hanging="360"/>
      </w:pPr>
      <w:rPr>
        <w:rFonts w:ascii="Wingdings" w:hAnsi="Wingdings" w:hint="default"/>
      </w:rPr>
    </w:lvl>
  </w:abstractNum>
  <w:abstractNum w:abstractNumId="4" w15:restartNumberingAfterBreak="0">
    <w:nsid w:val="4ADA6196"/>
    <w:multiLevelType w:val="hybridMultilevel"/>
    <w:tmpl w:val="DAC8CB94"/>
    <w:lvl w:ilvl="0" w:tplc="1AD495A2">
      <w:start w:val="1"/>
      <w:numFmt w:val="decimal"/>
      <w:lvlText w:val="%1."/>
      <w:lvlJc w:val="left"/>
      <w:pPr>
        <w:ind w:left="720" w:hanging="360"/>
      </w:pPr>
      <w:rPr>
        <w:rFonts w:hint="default"/>
      </w:rPr>
    </w:lvl>
    <w:lvl w:ilvl="1" w:tplc="F6D01438" w:tentative="1">
      <w:start w:val="1"/>
      <w:numFmt w:val="lowerLetter"/>
      <w:lvlText w:val="%2."/>
      <w:lvlJc w:val="left"/>
      <w:pPr>
        <w:ind w:left="1440" w:hanging="360"/>
      </w:pPr>
    </w:lvl>
    <w:lvl w:ilvl="2" w:tplc="FA7059CE" w:tentative="1">
      <w:start w:val="1"/>
      <w:numFmt w:val="lowerRoman"/>
      <w:lvlText w:val="%3."/>
      <w:lvlJc w:val="right"/>
      <w:pPr>
        <w:ind w:left="2160" w:hanging="180"/>
      </w:pPr>
    </w:lvl>
    <w:lvl w:ilvl="3" w:tplc="B9AA6664" w:tentative="1">
      <w:start w:val="1"/>
      <w:numFmt w:val="decimal"/>
      <w:lvlText w:val="%4."/>
      <w:lvlJc w:val="left"/>
      <w:pPr>
        <w:ind w:left="2880" w:hanging="360"/>
      </w:pPr>
    </w:lvl>
    <w:lvl w:ilvl="4" w:tplc="6066AD1E" w:tentative="1">
      <w:start w:val="1"/>
      <w:numFmt w:val="lowerLetter"/>
      <w:lvlText w:val="%5."/>
      <w:lvlJc w:val="left"/>
      <w:pPr>
        <w:ind w:left="3600" w:hanging="360"/>
      </w:pPr>
    </w:lvl>
    <w:lvl w:ilvl="5" w:tplc="F48079BC" w:tentative="1">
      <w:start w:val="1"/>
      <w:numFmt w:val="lowerRoman"/>
      <w:lvlText w:val="%6."/>
      <w:lvlJc w:val="right"/>
      <w:pPr>
        <w:ind w:left="4320" w:hanging="180"/>
      </w:pPr>
    </w:lvl>
    <w:lvl w:ilvl="6" w:tplc="A4D2AA9C" w:tentative="1">
      <w:start w:val="1"/>
      <w:numFmt w:val="decimal"/>
      <w:lvlText w:val="%7."/>
      <w:lvlJc w:val="left"/>
      <w:pPr>
        <w:ind w:left="5040" w:hanging="360"/>
      </w:pPr>
    </w:lvl>
    <w:lvl w:ilvl="7" w:tplc="B15C96BE" w:tentative="1">
      <w:start w:val="1"/>
      <w:numFmt w:val="lowerLetter"/>
      <w:lvlText w:val="%8."/>
      <w:lvlJc w:val="left"/>
      <w:pPr>
        <w:ind w:left="5760" w:hanging="360"/>
      </w:pPr>
    </w:lvl>
    <w:lvl w:ilvl="8" w:tplc="83FE09BC" w:tentative="1">
      <w:start w:val="1"/>
      <w:numFmt w:val="lowerRoman"/>
      <w:lvlText w:val="%9."/>
      <w:lvlJc w:val="right"/>
      <w:pPr>
        <w:ind w:left="6480" w:hanging="180"/>
      </w:pPr>
    </w:lvl>
  </w:abstractNum>
  <w:abstractNum w:abstractNumId="5" w15:restartNumberingAfterBreak="0">
    <w:nsid w:val="5B005531"/>
    <w:multiLevelType w:val="hybridMultilevel"/>
    <w:tmpl w:val="85127154"/>
    <w:lvl w:ilvl="0" w:tplc="AB22BEFC">
      <w:start w:val="1"/>
      <w:numFmt w:val="upperRoman"/>
      <w:lvlText w:val="%1."/>
      <w:lvlJc w:val="left"/>
      <w:pPr>
        <w:ind w:left="1080" w:hanging="720"/>
      </w:pPr>
      <w:rPr>
        <w:rFonts w:hint="default"/>
      </w:rPr>
    </w:lvl>
    <w:lvl w:ilvl="1" w:tplc="57EEBFD0" w:tentative="1">
      <w:start w:val="1"/>
      <w:numFmt w:val="lowerLetter"/>
      <w:lvlText w:val="%2."/>
      <w:lvlJc w:val="left"/>
      <w:pPr>
        <w:ind w:left="1440" w:hanging="360"/>
      </w:pPr>
    </w:lvl>
    <w:lvl w:ilvl="2" w:tplc="477E25FA" w:tentative="1">
      <w:start w:val="1"/>
      <w:numFmt w:val="lowerRoman"/>
      <w:lvlText w:val="%3."/>
      <w:lvlJc w:val="right"/>
      <w:pPr>
        <w:ind w:left="2160" w:hanging="180"/>
      </w:pPr>
    </w:lvl>
    <w:lvl w:ilvl="3" w:tplc="54722106" w:tentative="1">
      <w:start w:val="1"/>
      <w:numFmt w:val="decimal"/>
      <w:lvlText w:val="%4."/>
      <w:lvlJc w:val="left"/>
      <w:pPr>
        <w:ind w:left="2880" w:hanging="360"/>
      </w:pPr>
    </w:lvl>
    <w:lvl w:ilvl="4" w:tplc="60DAF682" w:tentative="1">
      <w:start w:val="1"/>
      <w:numFmt w:val="lowerLetter"/>
      <w:lvlText w:val="%5."/>
      <w:lvlJc w:val="left"/>
      <w:pPr>
        <w:ind w:left="3600" w:hanging="360"/>
      </w:pPr>
    </w:lvl>
    <w:lvl w:ilvl="5" w:tplc="6B365648" w:tentative="1">
      <w:start w:val="1"/>
      <w:numFmt w:val="lowerRoman"/>
      <w:lvlText w:val="%6."/>
      <w:lvlJc w:val="right"/>
      <w:pPr>
        <w:ind w:left="4320" w:hanging="180"/>
      </w:pPr>
    </w:lvl>
    <w:lvl w:ilvl="6" w:tplc="6DF8324E" w:tentative="1">
      <w:start w:val="1"/>
      <w:numFmt w:val="decimal"/>
      <w:lvlText w:val="%7."/>
      <w:lvlJc w:val="left"/>
      <w:pPr>
        <w:ind w:left="5040" w:hanging="360"/>
      </w:pPr>
    </w:lvl>
    <w:lvl w:ilvl="7" w:tplc="4DCA9788" w:tentative="1">
      <w:start w:val="1"/>
      <w:numFmt w:val="lowerLetter"/>
      <w:lvlText w:val="%8."/>
      <w:lvlJc w:val="left"/>
      <w:pPr>
        <w:ind w:left="5760" w:hanging="360"/>
      </w:pPr>
    </w:lvl>
    <w:lvl w:ilvl="8" w:tplc="E25EC88E" w:tentative="1">
      <w:start w:val="1"/>
      <w:numFmt w:val="lowerRoman"/>
      <w:lvlText w:val="%9."/>
      <w:lvlJc w:val="right"/>
      <w:pPr>
        <w:ind w:left="6480" w:hanging="180"/>
      </w:pPr>
    </w:lvl>
  </w:abstractNum>
  <w:num w:numId="1" w16cid:durableId="1781146787">
    <w:abstractNumId w:val="1"/>
  </w:num>
  <w:num w:numId="2" w16cid:durableId="667055710">
    <w:abstractNumId w:val="3"/>
  </w:num>
  <w:num w:numId="3" w16cid:durableId="900411618">
    <w:abstractNumId w:val="2"/>
  </w:num>
  <w:num w:numId="4" w16cid:durableId="1443184257">
    <w:abstractNumId w:val="5"/>
  </w:num>
  <w:num w:numId="5" w16cid:durableId="161816428">
    <w:abstractNumId w:val="4"/>
  </w:num>
  <w:num w:numId="6" w16cid:durableId="16478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A9"/>
    <w:rsid w:val="000403DD"/>
    <w:rsid w:val="000A77E6"/>
    <w:rsid w:val="000B3B7D"/>
    <w:rsid w:val="000D2A78"/>
    <w:rsid w:val="00145F1D"/>
    <w:rsid w:val="002555C1"/>
    <w:rsid w:val="00266706"/>
    <w:rsid w:val="002A3DFF"/>
    <w:rsid w:val="002B26D0"/>
    <w:rsid w:val="002D54EB"/>
    <w:rsid w:val="00317885"/>
    <w:rsid w:val="003316D9"/>
    <w:rsid w:val="00341AF9"/>
    <w:rsid w:val="0038657E"/>
    <w:rsid w:val="003F2E3A"/>
    <w:rsid w:val="00464030"/>
    <w:rsid w:val="004807FC"/>
    <w:rsid w:val="00496E95"/>
    <w:rsid w:val="004A683B"/>
    <w:rsid w:val="004C3887"/>
    <w:rsid w:val="00532B20"/>
    <w:rsid w:val="00535989"/>
    <w:rsid w:val="005A324D"/>
    <w:rsid w:val="005A6725"/>
    <w:rsid w:val="006008CE"/>
    <w:rsid w:val="00666163"/>
    <w:rsid w:val="0067744B"/>
    <w:rsid w:val="006837E4"/>
    <w:rsid w:val="0074334F"/>
    <w:rsid w:val="00760CD3"/>
    <w:rsid w:val="00773553"/>
    <w:rsid w:val="008674C8"/>
    <w:rsid w:val="008765B7"/>
    <w:rsid w:val="008C7BB1"/>
    <w:rsid w:val="008D74A9"/>
    <w:rsid w:val="00926781"/>
    <w:rsid w:val="00952991"/>
    <w:rsid w:val="00AD49B3"/>
    <w:rsid w:val="00B349D1"/>
    <w:rsid w:val="00B50B6C"/>
    <w:rsid w:val="00B634DA"/>
    <w:rsid w:val="00B87D2F"/>
    <w:rsid w:val="00BE3359"/>
    <w:rsid w:val="00BF5729"/>
    <w:rsid w:val="00C3322E"/>
    <w:rsid w:val="00C37878"/>
    <w:rsid w:val="00CA6AF1"/>
    <w:rsid w:val="00D2181B"/>
    <w:rsid w:val="00D9622C"/>
    <w:rsid w:val="00E2769D"/>
    <w:rsid w:val="00F22623"/>
    <w:rsid w:val="00FA1E6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5839"/>
  <w15:docId w15:val="{41381F37-B676-4544-A6DB-38D7319E7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535989"/>
    <w:pPr>
      <w:suppressAutoHyphens/>
      <w:autoSpaceDN w:val="0"/>
      <w:textAlignment w:val="baseline"/>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74A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74A9"/>
    <w:rPr>
      <w:rFonts w:ascii="Tahoma" w:eastAsia="Calibri" w:hAnsi="Tahoma" w:cs="Tahoma"/>
      <w:sz w:val="16"/>
      <w:szCs w:val="16"/>
    </w:rPr>
  </w:style>
  <w:style w:type="paragraph" w:styleId="Odlomakpopisa">
    <w:name w:val="List Paragraph"/>
    <w:basedOn w:val="Normal"/>
    <w:uiPriority w:val="34"/>
    <w:qFormat/>
    <w:rsid w:val="006837E4"/>
    <w:pPr>
      <w:ind w:left="720"/>
      <w:contextualSpacing/>
    </w:pPr>
  </w:style>
  <w:style w:type="paragraph" w:styleId="Zaglavlje">
    <w:name w:val="header"/>
    <w:basedOn w:val="Normal"/>
    <w:link w:val="ZaglavljeChar"/>
    <w:uiPriority w:val="99"/>
    <w:unhideWhenUsed/>
    <w:rsid w:val="003F2E3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F2E3A"/>
    <w:rPr>
      <w:rFonts w:ascii="Calibri" w:eastAsia="Calibri" w:hAnsi="Calibri" w:cs="Times New Roman"/>
    </w:rPr>
  </w:style>
  <w:style w:type="paragraph" w:styleId="Podnoje">
    <w:name w:val="footer"/>
    <w:basedOn w:val="Normal"/>
    <w:link w:val="PodnojeChar"/>
    <w:uiPriority w:val="99"/>
    <w:unhideWhenUsed/>
    <w:rsid w:val="003F2E3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3F2E3A"/>
    <w:rPr>
      <w:rFonts w:ascii="Calibri" w:eastAsia="Calibri" w:hAnsi="Calibri" w:cs="Times New Roman"/>
    </w:rPr>
  </w:style>
  <w:style w:type="table" w:styleId="Reetkatablice">
    <w:name w:val="Table Grid"/>
    <w:basedOn w:val="Obinatablica"/>
    <w:uiPriority w:val="59"/>
    <w:rsid w:val="00255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39"/>
    <w:rsid w:val="0067744B"/>
    <w:pPr>
      <w:spacing w:after="0" w:line="240" w:lineRule="auto"/>
    </w:pPr>
    <w:rPr>
      <w:rFonts w:eastAsia="Times New Roman"/>
      <w:kern w:val="2"/>
      <w:sz w:val="24"/>
      <w:szCs w:val="24"/>
      <w:lang w:eastAsia="hr-H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2108</Words>
  <Characters>12020</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Mirko Gortan</dc:creator>
  <cp:lastModifiedBy>Creative Media - Hilton Costabella</cp:lastModifiedBy>
  <cp:revision>5</cp:revision>
  <cp:lastPrinted>2022-12-12T07:50:00Z</cp:lastPrinted>
  <dcterms:created xsi:type="dcterms:W3CDTF">2025-11-26T14:11:00Z</dcterms:created>
  <dcterms:modified xsi:type="dcterms:W3CDTF">2025-12-03T15:41:00Z</dcterms:modified>
</cp:coreProperties>
</file>