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B6B4" w14:textId="1DAFF871" w:rsidR="0016072C" w:rsidRPr="0016072C" w:rsidRDefault="0016072C" w:rsidP="0016072C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3</w:t>
      </w:r>
      <w:r w:rsidRPr="0016072C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44BE30F4" w14:textId="77777777" w:rsidR="0016072C" w:rsidRDefault="0016072C" w:rsidP="001361BB">
      <w:pPr>
        <w:suppressAutoHyphens w:val="0"/>
        <w:autoSpaceDN/>
        <w:spacing w:after="172" w:line="256" w:lineRule="auto"/>
        <w:ind w:lef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150D981E" w14:textId="20B7C2F0" w:rsidR="001361BB" w:rsidRPr="001361BB" w:rsidRDefault="00000000" w:rsidP="001361BB">
      <w:pPr>
        <w:suppressAutoHyphens w:val="0"/>
        <w:autoSpaceDN/>
        <w:spacing w:after="172" w:line="256" w:lineRule="auto"/>
        <w:ind w:lef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Na temelju članka 289. stavak 2. i 7. Zakona o socijalnoj skrbi ("Narodne novine" broj 18/22, 46/22., 119/22., 71/23.,156/23. i 61/25), članka 73. stavak 1. Zakona o rodiljnim i roditeljskim potporama ("Narodne novine" broj 152/22. i 34/25.), članka 6. stavka 2. i članka 11. stavka 5. Zakona o zdravstvenoj zaštiti ("Narodne novine" broj 100/18., 125/19., 133/20., 147/20., 136/21., 119/22., 156/22., 33/23., 145/23., 36/24. i 102/25.) te članka 33. stavak 1. točka 13. Statuta Općine Jelenje („Službene novine Općine Jelenje“ broj 59/23. i 82/25.) Općinsko vijeće Općine Jelenje na 5. sjednici održanoj dana </w:t>
      </w:r>
      <w:r w:rsidR="002B677A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22</w:t>
      </w: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. prosinca 2025. donosi</w:t>
      </w:r>
    </w:p>
    <w:p w14:paraId="4591734A" w14:textId="77777777" w:rsidR="001361BB" w:rsidRPr="001361BB" w:rsidRDefault="001361BB" w:rsidP="001361BB">
      <w:pPr>
        <w:suppressAutoHyphens w:val="0"/>
        <w:autoSpaceDN/>
        <w:spacing w:after="0" w:line="264" w:lineRule="auto"/>
        <w:ind w:left="2748" w:right="725" w:hanging="1247"/>
        <w:jc w:val="both"/>
        <w:textAlignment w:val="auto"/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</w:pPr>
    </w:p>
    <w:p w14:paraId="7800C727" w14:textId="77777777" w:rsidR="001361BB" w:rsidRPr="001361BB" w:rsidRDefault="00000000" w:rsidP="001361BB">
      <w:pPr>
        <w:suppressAutoHyphens w:val="0"/>
        <w:autoSpaceDN/>
        <w:spacing w:after="0" w:line="264" w:lineRule="auto"/>
        <w:ind w:right="66"/>
        <w:jc w:val="center"/>
        <w:textAlignment w:val="auto"/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  <w:t xml:space="preserve">Program javnih potreba u socijalnoj skrbi i zdravstvu Općine Jelenje </w:t>
      </w:r>
    </w:p>
    <w:p w14:paraId="50E52B3D" w14:textId="77777777" w:rsidR="001361BB" w:rsidRPr="001361BB" w:rsidRDefault="00000000" w:rsidP="001361BB">
      <w:pPr>
        <w:suppressAutoHyphens w:val="0"/>
        <w:autoSpaceDN/>
        <w:spacing w:after="0" w:line="264" w:lineRule="auto"/>
        <w:ind w:right="66"/>
        <w:jc w:val="center"/>
        <w:textAlignment w:val="auto"/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  <w:t>za 2026. godinu</w:t>
      </w:r>
    </w:p>
    <w:p w14:paraId="02B8979C" w14:textId="77777777" w:rsidR="001361BB" w:rsidRPr="001361BB" w:rsidRDefault="001361BB" w:rsidP="001361BB">
      <w:pPr>
        <w:suppressAutoHyphens w:val="0"/>
        <w:autoSpaceDN/>
        <w:spacing w:after="0" w:line="264" w:lineRule="auto"/>
        <w:ind w:right="66"/>
        <w:jc w:val="center"/>
        <w:textAlignment w:val="auto"/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  <w14:ligatures w14:val="standardContextual"/>
        </w:rPr>
      </w:pPr>
    </w:p>
    <w:p w14:paraId="7E9CE3FB" w14:textId="77777777" w:rsidR="001361BB" w:rsidRPr="001361BB" w:rsidRDefault="001361BB" w:rsidP="001361BB">
      <w:pPr>
        <w:suppressAutoHyphens w:val="0"/>
        <w:autoSpaceDN/>
        <w:spacing w:after="0" w:line="264" w:lineRule="auto"/>
        <w:ind w:right="66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63E309BF" w14:textId="77777777" w:rsidR="001361BB" w:rsidRPr="001361BB" w:rsidRDefault="00000000" w:rsidP="001361BB">
      <w:pPr>
        <w:suppressAutoHyphens w:val="0"/>
        <w:autoSpaceDN/>
        <w:spacing w:after="18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1.</w:t>
      </w:r>
    </w:p>
    <w:p w14:paraId="17F9D502" w14:textId="77777777" w:rsidR="001361BB" w:rsidRPr="001361BB" w:rsidRDefault="00000000" w:rsidP="001361BB">
      <w:pPr>
        <w:suppressAutoHyphens w:val="0"/>
        <w:autoSpaceDN/>
        <w:spacing w:after="474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Programom javnih potreba u socijalnoj skrbi i zdravstvu za 2026. godinu (u nastavku: Program) utvrđuju se nadstandard u socijalnoj i zdravstvenoj zaštiti , a čime se stvaraju osnovni preduvjeti za kvalitetniji život kako pojedinca tako i obitelji, a naročito pojedinca i obitelji čije materijalno stanje nije dostatno za podmirenje osnovnih životnih potreba.  </w:t>
      </w:r>
    </w:p>
    <w:p w14:paraId="666D616D" w14:textId="77777777" w:rsidR="001361BB" w:rsidRPr="001361BB" w:rsidRDefault="00000000" w:rsidP="001361BB">
      <w:pPr>
        <w:suppressAutoHyphens w:val="0"/>
        <w:autoSpaceDN/>
        <w:spacing w:after="16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 w:val="23"/>
          <w:szCs w:val="24"/>
          <w:lang w:eastAsia="en-GB"/>
          <w14:ligatures w14:val="standardContextual"/>
        </w:rPr>
        <w:t>Članak 2</w:t>
      </w:r>
      <w:r w:rsidRPr="001361BB">
        <w:rPr>
          <w:rFonts w:ascii="Arial" w:eastAsia="Arial" w:hAnsi="Arial" w:cs="Arial"/>
          <w:color w:val="000000"/>
          <w:kern w:val="2"/>
          <w:sz w:val="23"/>
          <w:szCs w:val="24"/>
          <w:lang w:eastAsia="en-GB"/>
          <w14:ligatures w14:val="standardContextual"/>
        </w:rPr>
        <w:t>.</w:t>
      </w:r>
    </w:p>
    <w:p w14:paraId="0D3F792E" w14:textId="77777777" w:rsidR="001361BB" w:rsidRPr="001361BB" w:rsidRDefault="00000000" w:rsidP="001361BB">
      <w:pPr>
        <w:suppressAutoHyphens w:val="0"/>
        <w:autoSpaceDN/>
        <w:spacing w:after="5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U odnosu na zdravstvenu zaštitu programom su obuhvaćeni:</w:t>
      </w:r>
    </w:p>
    <w:p w14:paraId="5718805F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0" w:line="256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242021"/>
          <w:kern w:val="2"/>
          <w:szCs w:val="24"/>
          <w:lang w:eastAsia="en-GB"/>
          <w14:ligatures w14:val="standardContextual"/>
        </w:rPr>
        <w:t>Potpora za novorođeno dijete</w:t>
      </w:r>
    </w:p>
    <w:p w14:paraId="6201B239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2" w:line="254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Tečaj za trudnice - škola za rodilje</w:t>
      </w:r>
    </w:p>
    <w:p w14:paraId="761F1C41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0" w:line="256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242021"/>
          <w:kern w:val="2"/>
          <w:szCs w:val="24"/>
          <w:lang w:eastAsia="en-GB"/>
          <w14:ligatures w14:val="standardContextual"/>
        </w:rPr>
        <w:t xml:space="preserve">Sufinanciranje prehrane za dojenčad </w:t>
      </w:r>
    </w:p>
    <w:p w14:paraId="228BEADE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0" w:line="256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Prevencijsko-dijagnostički pregledi za odrasle</w:t>
      </w:r>
    </w:p>
    <w:p w14:paraId="6CBE06DC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2" w:line="254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Prevencijsko-dijagnostički pregledi i tretmani za djecu</w:t>
      </w:r>
    </w:p>
    <w:p w14:paraId="511A1950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2" w:line="254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Financiranje javnog prijevoza dobrovoljnim davateljima krvi </w:t>
      </w:r>
    </w:p>
    <w:p w14:paraId="7149E169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2" w:line="254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Punktovi posebnog dežurstva</w:t>
      </w:r>
    </w:p>
    <w:p w14:paraId="3A5960B2" w14:textId="77777777" w:rsidR="001361BB" w:rsidRPr="001361BB" w:rsidRDefault="00000000" w:rsidP="001361BB">
      <w:pPr>
        <w:numPr>
          <w:ilvl w:val="0"/>
          <w:numId w:val="3"/>
        </w:numPr>
        <w:suppressAutoHyphens w:val="0"/>
        <w:autoSpaceDN/>
        <w:spacing w:after="267" w:line="254" w:lineRule="auto"/>
        <w:ind w:right="103" w:hanging="245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Prijevoz onkoloških bolesnika</w:t>
      </w:r>
    </w:p>
    <w:p w14:paraId="11DF67B5" w14:textId="77777777" w:rsidR="001361BB" w:rsidRPr="001361BB" w:rsidRDefault="00000000" w:rsidP="001361BB">
      <w:pPr>
        <w:suppressAutoHyphens w:val="0"/>
        <w:autoSpaceDN/>
        <w:spacing w:after="16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 w:val="23"/>
          <w:szCs w:val="24"/>
          <w:lang w:eastAsia="en-GB"/>
          <w14:ligatures w14:val="standardContextual"/>
        </w:rPr>
        <w:t xml:space="preserve">Članak 3. </w:t>
      </w:r>
    </w:p>
    <w:p w14:paraId="429A3277" w14:textId="77777777" w:rsidR="001361BB" w:rsidRPr="001361BB" w:rsidRDefault="00000000" w:rsidP="001361BB">
      <w:pPr>
        <w:suppressAutoHyphens w:val="0"/>
        <w:autoSpaceDN/>
        <w:spacing w:after="24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U odnosu na socijalnu skrb, program obuhvaća:</w:t>
      </w:r>
    </w:p>
    <w:p w14:paraId="308EE369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6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Novčane pomoći u teškim životnim okolnostima,</w:t>
      </w:r>
    </w:p>
    <w:p w14:paraId="74B7075C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0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Podmirenje troškova prehrane i prigodne pomoći,</w:t>
      </w:r>
    </w:p>
    <w:p w14:paraId="2CA25AEB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29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Podmirenje troškova prijevoza,</w:t>
      </w:r>
    </w:p>
    <w:p w14:paraId="6B86C502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6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 xml:space="preserve">Pomoć u kući i druge vrste pomoći u okviru projekta Zajedno u zlatnim </w:t>
      </w: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ab/>
        <w:t>godinama,</w:t>
      </w:r>
    </w:p>
    <w:p w14:paraId="2C40BD30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0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Financiranje pune ekonomske cijene predškolskog obrazovanja,</w:t>
      </w:r>
    </w:p>
    <w:p w14:paraId="4AA69DCC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0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Financiranje pune cijene produženog boravka,</w:t>
      </w:r>
    </w:p>
    <w:p w14:paraId="75008042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0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Podmirenje pogrebnih troškova,</w:t>
      </w:r>
    </w:p>
    <w:p w14:paraId="2F456C6C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10" w:line="254" w:lineRule="auto"/>
        <w:ind w:left="426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Naknadu za troškove stanovanja,</w:t>
      </w:r>
    </w:p>
    <w:p w14:paraId="155D3C3C" w14:textId="77777777" w:rsidR="001361BB" w:rsidRPr="001361BB" w:rsidRDefault="00000000" w:rsidP="001361BB">
      <w:pPr>
        <w:numPr>
          <w:ilvl w:val="0"/>
          <w:numId w:val="4"/>
        </w:numPr>
        <w:suppressAutoHyphens w:val="0"/>
        <w:autoSpaceDN/>
        <w:spacing w:after="0" w:line="256" w:lineRule="auto"/>
        <w:ind w:left="426" w:right="102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Financiranje javnog prijevoza invalidima,</w:t>
      </w:r>
    </w:p>
    <w:p w14:paraId="34DC8AD6" w14:textId="77777777" w:rsidR="001361BB" w:rsidRPr="001361BB" w:rsidRDefault="00000000" w:rsidP="001361BB">
      <w:pPr>
        <w:suppressAutoHyphens w:val="0"/>
        <w:autoSpaceDN/>
        <w:spacing w:after="0" w:line="256" w:lineRule="auto"/>
        <w:ind w:left="426" w:right="102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10.Potpore socijalno-humanitarnim udrugama.</w:t>
      </w:r>
    </w:p>
    <w:p w14:paraId="0BC700B2" w14:textId="77777777" w:rsidR="001361BB" w:rsidRPr="001361BB" w:rsidRDefault="001361BB" w:rsidP="001361BB">
      <w:pPr>
        <w:suppressAutoHyphens w:val="0"/>
        <w:autoSpaceDN/>
        <w:spacing w:after="0" w:line="256" w:lineRule="auto"/>
        <w:ind w:left="10" w:right="102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6C72750B" w14:textId="77777777" w:rsidR="001361BB" w:rsidRPr="001361BB" w:rsidRDefault="00000000" w:rsidP="001361BB">
      <w:pPr>
        <w:suppressAutoHyphens w:val="0"/>
        <w:autoSpaceDN/>
        <w:spacing w:after="163" w:line="256" w:lineRule="auto"/>
        <w:ind w:left="10" w:right="4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 w:val="23"/>
          <w:szCs w:val="24"/>
          <w:lang w:eastAsia="en-GB"/>
          <w14:ligatures w14:val="standardContextual"/>
        </w:rPr>
        <w:t>Članak 4.</w:t>
      </w:r>
    </w:p>
    <w:p w14:paraId="7E0112AA" w14:textId="77777777" w:rsidR="001361BB" w:rsidRPr="001361BB" w:rsidRDefault="00000000" w:rsidP="001361BB">
      <w:pPr>
        <w:suppressAutoHyphens w:val="0"/>
        <w:autoSpaceDN/>
        <w:spacing w:after="175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lastRenderedPageBreak/>
        <w:t xml:space="preserve">Sredstva za ostvarivanje javnih potreba iz članka 2. i 3. Programa osigurana su u Proračunu za 2026. godinu u ukupnom iznosu od 314.500,00 EUR te se raspoređuju kako slijedi: </w:t>
      </w:r>
    </w:p>
    <w:tbl>
      <w:tblPr>
        <w:tblStyle w:val="TableGrid"/>
        <w:tblW w:w="9143" w:type="dxa"/>
        <w:tblInd w:w="107" w:type="dxa"/>
        <w:tblCellMar>
          <w:top w:w="39" w:type="dxa"/>
          <w:left w:w="107" w:type="dxa"/>
          <w:bottom w:w="5" w:type="dxa"/>
          <w:right w:w="164" w:type="dxa"/>
        </w:tblCellMar>
        <w:tblLook w:val="04A0" w:firstRow="1" w:lastRow="0" w:firstColumn="1" w:lastColumn="0" w:noHBand="0" w:noVBand="1"/>
      </w:tblPr>
      <w:tblGrid>
        <w:gridCol w:w="7301"/>
        <w:gridCol w:w="1842"/>
      </w:tblGrid>
      <w:tr w:rsidR="00C04CAA" w14:paraId="4C7749CD" w14:textId="77777777" w:rsidTr="001361BB">
        <w:trPr>
          <w:trHeight w:val="411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A3604B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VRSTA RASHODA/IZDATAKA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555F84D2" w14:textId="77777777" w:rsidR="001361BB" w:rsidRPr="001361BB" w:rsidRDefault="00000000" w:rsidP="001361BB">
            <w:pPr>
              <w:suppressAutoHyphens w:val="0"/>
              <w:autoSpaceDN/>
              <w:ind w:left="37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IZNOS u eurima</w:t>
            </w:r>
          </w:p>
        </w:tc>
      </w:tr>
      <w:tr w:rsidR="00C04CAA" w14:paraId="7E19BC2D" w14:textId="77777777" w:rsidTr="001361BB">
        <w:trPr>
          <w:trHeight w:val="293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  <w:hideMark/>
          </w:tcPr>
          <w:p w14:paraId="17570B53" w14:textId="77777777" w:rsidR="001361BB" w:rsidRPr="001361BB" w:rsidRDefault="00000000" w:rsidP="001361BB">
            <w:pPr>
              <w:suppressAutoHyphens w:val="0"/>
              <w:autoSpaceDN/>
              <w:ind w:left="1842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1. ZDRAVSTVENI PROGRAM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15A3E6E" w14:textId="77777777" w:rsidR="001361BB" w:rsidRPr="001361BB" w:rsidRDefault="001361BB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04CAA" w14:paraId="584C251F" w14:textId="77777777" w:rsidTr="001361BB">
        <w:trPr>
          <w:trHeight w:val="195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0FB9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 </w:t>
            </w:r>
            <w:r w:rsidRPr="001361BB">
              <w:rPr>
                <w:rFonts w:ascii="Arial" w:eastAsia="Arial" w:hAnsi="Arial" w:cs="Arial"/>
                <w:color w:val="242021"/>
                <w:sz w:val="16"/>
                <w:szCs w:val="16"/>
              </w:rPr>
              <w:t>Potpora za novorođeno dijete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F783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C04CAA" w14:paraId="24FDDD10" w14:textId="77777777" w:rsidTr="001361BB">
        <w:trPr>
          <w:trHeight w:val="194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8E981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2. Tečaj za trudnice - škola za rodilje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F280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C04CAA" w14:paraId="1D82F5B7" w14:textId="77777777" w:rsidTr="001361BB">
        <w:trPr>
          <w:trHeight w:val="194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6A02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242021"/>
                <w:sz w:val="16"/>
                <w:szCs w:val="16"/>
              </w:rPr>
              <w:t xml:space="preserve">3. Sufinanciranje prehrane za dojenčad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953D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5.500,00</w:t>
            </w:r>
          </w:p>
        </w:tc>
      </w:tr>
      <w:tr w:rsidR="00C04CAA" w14:paraId="4DB436E0" w14:textId="77777777" w:rsidTr="001361BB">
        <w:trPr>
          <w:trHeight w:val="194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3BEE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4. Prevencijsko dijagnostički pregledi za odrasle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FA1F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6.500,00</w:t>
            </w:r>
          </w:p>
        </w:tc>
      </w:tr>
      <w:tr w:rsidR="00C04CAA" w14:paraId="48277A24" w14:textId="77777777" w:rsidTr="001361BB">
        <w:trPr>
          <w:trHeight w:val="194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1162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5. Prevencijsko dijagnostički pregledi i tretmani za djecu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A68E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11.000,00</w:t>
            </w:r>
          </w:p>
        </w:tc>
      </w:tr>
      <w:tr w:rsidR="00C04CAA" w14:paraId="58775DB9" w14:textId="77777777" w:rsidTr="001361BB">
        <w:trPr>
          <w:trHeight w:val="195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87C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 Financiranje javnog prijevoza dobrovoljnim davateljima krvi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A8D1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7.000,00</w:t>
            </w:r>
          </w:p>
        </w:tc>
      </w:tr>
      <w:tr w:rsidR="00C04CAA" w14:paraId="30B43A05" w14:textId="77777777" w:rsidTr="001361BB">
        <w:trPr>
          <w:trHeight w:val="195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6F86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7. Prijevoz onkoloških bolesnika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686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C04CAA" w14:paraId="3903FA16" w14:textId="77777777" w:rsidTr="001361BB">
        <w:trPr>
          <w:trHeight w:val="377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bottom"/>
            <w:hideMark/>
          </w:tcPr>
          <w:p w14:paraId="0D229C60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03D5B81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60.800,00</w:t>
            </w:r>
          </w:p>
        </w:tc>
      </w:tr>
      <w:tr w:rsidR="00C04CAA" w14:paraId="1F36EEA0" w14:textId="77777777" w:rsidTr="001361BB">
        <w:trPr>
          <w:trHeight w:val="293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hideMark/>
          </w:tcPr>
          <w:p w14:paraId="689DEC84" w14:textId="77777777" w:rsidR="001361BB" w:rsidRPr="001361BB" w:rsidRDefault="00000000" w:rsidP="001361BB">
            <w:pPr>
              <w:suppressAutoHyphens w:val="0"/>
              <w:autoSpaceDN/>
              <w:ind w:left="1842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2. SOCIJALNI PROGRAM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876B95" w14:textId="77777777" w:rsidR="001361BB" w:rsidRPr="001361BB" w:rsidRDefault="001361BB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04CAA" w14:paraId="0D0F5A54" w14:textId="77777777" w:rsidTr="001361BB">
        <w:trPr>
          <w:trHeight w:val="226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D2C25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1.Novčana pomoć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4DE1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12.500,00</w:t>
            </w:r>
          </w:p>
        </w:tc>
      </w:tr>
      <w:tr w:rsidR="00C04CAA" w14:paraId="17C0CDE9" w14:textId="77777777" w:rsidTr="001361BB">
        <w:trPr>
          <w:trHeight w:val="225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F4BA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2.Podmirenje troškova prehrane i prigodne pomoći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3D7D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50.000,00</w:t>
            </w:r>
          </w:p>
        </w:tc>
      </w:tr>
      <w:tr w:rsidR="00C04CAA" w14:paraId="61A06D3A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33E4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3.Podmirenje troškova prijevoza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A04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C04CAA" w14:paraId="6EDCF512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3512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4.Pomoć u kući i druge vrste pomoći u okviru projekta Zajedno u zlatnim godinama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CCB5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151.700,00</w:t>
            </w:r>
          </w:p>
        </w:tc>
      </w:tr>
      <w:tr w:rsidR="00C04CAA" w14:paraId="0E456F92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B205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5.Financiranje pune cijene predškolskog obrazovanja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34AC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C04CAA" w14:paraId="4FBFE10E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F9A6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6.Financiranje pune cijene produženog boravka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2554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C04CAA" w14:paraId="41CB7991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B240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7.Podmirenje pogrebnih troškova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04C3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C04CAA" w14:paraId="089DF985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8984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8.Naknada za troškove stanovanja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5EA0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C04CAA" w14:paraId="73573434" w14:textId="77777777" w:rsidTr="001361BB">
        <w:trPr>
          <w:trHeight w:val="22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0B2E" w14:textId="77777777" w:rsidR="001361BB" w:rsidRPr="001361BB" w:rsidRDefault="00000000" w:rsidP="001361BB">
            <w:pPr>
              <w:suppressAutoHyphens w:val="0"/>
              <w:autoSpaceDN/>
              <w:ind w:left="22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9.Financiranje javnog prijevoza invalidima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AF76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C04CAA" w14:paraId="09BF542C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737AB649" w14:textId="77777777" w:rsidR="001361BB" w:rsidRPr="001361BB" w:rsidRDefault="00000000" w:rsidP="001361BB">
            <w:pPr>
              <w:suppressAutoHyphens w:val="0"/>
              <w:autoSpaceDN/>
              <w:ind w:left="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45AFF10D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231.700,00</w:t>
            </w:r>
          </w:p>
        </w:tc>
      </w:tr>
      <w:tr w:rsidR="00C04CAA" w14:paraId="291BECD1" w14:textId="77777777" w:rsidTr="001361BB">
        <w:trPr>
          <w:trHeight w:val="294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  <w:hideMark/>
          </w:tcPr>
          <w:p w14:paraId="0C0CC44D" w14:textId="77777777" w:rsidR="001361BB" w:rsidRPr="001361BB" w:rsidRDefault="00000000" w:rsidP="001361BB">
            <w:pPr>
              <w:suppressAutoHyphens w:val="0"/>
              <w:autoSpaceDN/>
              <w:ind w:left="1843" w:hanging="1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3. OSTALI PROGRAMI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0D366CF" w14:textId="77777777" w:rsidR="001361BB" w:rsidRPr="001361BB" w:rsidRDefault="001361BB" w:rsidP="001361BB">
            <w:pPr>
              <w:suppressAutoHyphens w:val="0"/>
              <w:autoSpaceDN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04CAA" w14:paraId="4241BC30" w14:textId="77777777" w:rsidTr="001361BB">
        <w:trPr>
          <w:trHeight w:val="223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CAB2" w14:textId="77777777" w:rsidR="001361BB" w:rsidRPr="001361BB" w:rsidRDefault="00000000" w:rsidP="001361BB">
            <w:pPr>
              <w:suppressAutoHyphens w:val="0"/>
              <w:autoSpaceDN/>
              <w:ind w:left="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1. Punktovi posebnog dežurstva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CE0D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C04CAA" w14:paraId="7B5F77A5" w14:textId="77777777" w:rsidTr="001361BB">
        <w:trPr>
          <w:trHeight w:val="22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53D4" w14:textId="77777777" w:rsidR="001361BB" w:rsidRPr="001361BB" w:rsidRDefault="00000000" w:rsidP="001361BB">
            <w:pPr>
              <w:suppressAutoHyphens w:val="0"/>
              <w:autoSpaceDN/>
              <w:ind w:left="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2. Potpore socijalno-humanitarnim udrugama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D66A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17.000,00</w:t>
            </w:r>
          </w:p>
        </w:tc>
      </w:tr>
      <w:tr w:rsidR="00C04CAA" w14:paraId="63459FC7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14:paraId="187DFEAA" w14:textId="77777777" w:rsidR="001361BB" w:rsidRPr="001361BB" w:rsidRDefault="00000000" w:rsidP="001361BB">
            <w:pPr>
              <w:suppressAutoHyphens w:val="0"/>
              <w:autoSpaceDN/>
              <w:ind w:left="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14:paraId="349F6DD7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color w:val="000000"/>
                <w:sz w:val="16"/>
                <w:szCs w:val="16"/>
              </w:rPr>
              <w:t>22.000,00</w:t>
            </w:r>
          </w:p>
        </w:tc>
      </w:tr>
      <w:tr w:rsidR="00C04CAA" w14:paraId="0621F41F" w14:textId="77777777" w:rsidTr="001361BB">
        <w:trPr>
          <w:trHeight w:val="22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10F8ADC" w14:textId="77777777" w:rsidR="001361BB" w:rsidRPr="001361BB" w:rsidRDefault="00000000" w:rsidP="001361BB">
            <w:pPr>
              <w:suppressAutoHyphens w:val="0"/>
              <w:autoSpaceDN/>
              <w:ind w:left="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4C4ECD2C" w14:textId="77777777" w:rsidR="001361BB" w:rsidRPr="001361BB" w:rsidRDefault="00000000" w:rsidP="001361BB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361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314.500,00</w:t>
            </w:r>
          </w:p>
        </w:tc>
      </w:tr>
    </w:tbl>
    <w:p w14:paraId="5F9EEDC0" w14:textId="77777777" w:rsidR="001361BB" w:rsidRPr="001361BB" w:rsidRDefault="001361BB" w:rsidP="001361BB">
      <w:pPr>
        <w:suppressAutoHyphens w:val="0"/>
        <w:autoSpaceDN/>
        <w:spacing w:after="18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</w:pPr>
    </w:p>
    <w:p w14:paraId="6F13CA32" w14:textId="77777777" w:rsidR="001361BB" w:rsidRPr="001361BB" w:rsidRDefault="00000000" w:rsidP="001361BB">
      <w:pPr>
        <w:suppressAutoHyphens w:val="0"/>
        <w:autoSpaceDN/>
        <w:spacing w:after="18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5.</w:t>
      </w:r>
    </w:p>
    <w:p w14:paraId="6540CC22" w14:textId="77777777" w:rsidR="001361BB" w:rsidRPr="001361BB" w:rsidRDefault="00000000" w:rsidP="001361BB">
      <w:pPr>
        <w:suppressAutoHyphens w:val="0"/>
        <w:autoSpaceDN/>
        <w:spacing w:after="462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Raspored sredstava iz ovog Programa vrši Jedinstveni upravni odjel Općine Jelenje na temelju općih akata općinskog vijeća i općinskog načelnika.</w:t>
      </w:r>
    </w:p>
    <w:p w14:paraId="01E42AD1" w14:textId="77777777" w:rsidR="001361BB" w:rsidRPr="001361BB" w:rsidRDefault="00000000" w:rsidP="001361BB">
      <w:pPr>
        <w:suppressAutoHyphens w:val="0"/>
        <w:autoSpaceDN/>
        <w:spacing w:after="183" w:line="256" w:lineRule="auto"/>
        <w:ind w:left="10" w:right="10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b/>
          <w:color w:val="000000"/>
          <w:kern w:val="2"/>
          <w:szCs w:val="24"/>
          <w:lang w:eastAsia="en-GB"/>
          <w14:ligatures w14:val="standardContextual"/>
        </w:rPr>
        <w:t>Članak 6.</w:t>
      </w:r>
    </w:p>
    <w:p w14:paraId="294B4E12" w14:textId="77777777" w:rsidR="001361BB" w:rsidRPr="001361BB" w:rsidRDefault="00000000" w:rsidP="001361BB">
      <w:pPr>
        <w:suppressAutoHyphens w:val="0"/>
        <w:autoSpaceDN/>
        <w:spacing w:after="474" w:line="254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Ovaj Program stupa na snagu osmog dana od dana objave u „Službenim novinama Općine Jelenje“, a primjenjuje se od 1. siječnja 2026. godine.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04CAA" w14:paraId="6FD0CD74" w14:textId="77777777" w:rsidTr="009D4F1A">
        <w:tc>
          <w:tcPr>
            <w:tcW w:w="1023" w:type="dxa"/>
            <w:hideMark/>
          </w:tcPr>
          <w:p w14:paraId="34113CBC" w14:textId="77777777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1361BB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453D9A2" w14:textId="77777777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1361BB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1361B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04CAA" w14:paraId="2705F30B" w14:textId="77777777" w:rsidTr="009D4F1A">
        <w:tc>
          <w:tcPr>
            <w:tcW w:w="1023" w:type="dxa"/>
            <w:hideMark/>
          </w:tcPr>
          <w:p w14:paraId="3866BE6C" w14:textId="77777777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1361BB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58A402A2" w14:textId="77777777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1361B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1361BB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2170-20-03-01/03-25-30</w:t>
            </w:r>
            <w:r w:rsidRPr="001361BB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04CAA" w14:paraId="67E99AF4" w14:textId="77777777" w:rsidTr="009D4F1A">
        <w:tc>
          <w:tcPr>
            <w:tcW w:w="1023" w:type="dxa"/>
            <w:hideMark/>
          </w:tcPr>
          <w:p w14:paraId="2A49BFF2" w14:textId="77777777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1361BB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6A555D4F" w14:textId="2822024D" w:rsidR="002B677A" w:rsidRPr="001361BB" w:rsidRDefault="00000000" w:rsidP="009D4F1A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</w:tc>
      </w:tr>
    </w:tbl>
    <w:p w14:paraId="57A84094" w14:textId="77777777" w:rsidR="002B677A" w:rsidRDefault="002B677A" w:rsidP="002B677A">
      <w:pPr>
        <w:suppressAutoHyphens w:val="0"/>
        <w:autoSpaceDN/>
        <w:spacing w:after="16" w:line="256" w:lineRule="auto"/>
        <w:ind w:left="10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76EB1854" w14:textId="77777777" w:rsidR="002B677A" w:rsidRDefault="002B677A" w:rsidP="001361BB">
      <w:pPr>
        <w:suppressAutoHyphens w:val="0"/>
        <w:autoSpaceDN/>
        <w:spacing w:after="16" w:line="256" w:lineRule="auto"/>
        <w:ind w:left="10" w:right="103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2CF58D4D" w14:textId="6CC2595C" w:rsidR="001361BB" w:rsidRPr="001361BB" w:rsidRDefault="00000000" w:rsidP="001361BB">
      <w:pPr>
        <w:suppressAutoHyphens w:val="0"/>
        <w:autoSpaceDN/>
        <w:spacing w:after="16" w:line="256" w:lineRule="auto"/>
        <w:ind w:left="10" w:right="103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OPĆINSKO VIJEĆE OPĆINE JELENJE</w:t>
      </w:r>
    </w:p>
    <w:p w14:paraId="633A9B3D" w14:textId="77777777" w:rsidR="001361BB" w:rsidRPr="001361BB" w:rsidRDefault="00000000" w:rsidP="001361BB">
      <w:pPr>
        <w:suppressAutoHyphens w:val="0"/>
        <w:autoSpaceDN/>
        <w:spacing w:after="16" w:line="256" w:lineRule="auto"/>
        <w:ind w:left="10" w:right="103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PREDSJEDNICA</w:t>
      </w:r>
    </w:p>
    <w:p w14:paraId="5A624BF3" w14:textId="77777777" w:rsidR="001361BB" w:rsidRPr="001361BB" w:rsidRDefault="00000000" w:rsidP="001361BB">
      <w:pPr>
        <w:suppressAutoHyphens w:val="0"/>
        <w:autoSpaceDN/>
        <w:spacing w:after="16" w:line="256" w:lineRule="auto"/>
        <w:ind w:left="10" w:right="103" w:hanging="10"/>
        <w:jc w:val="right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1361BB"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  <w:t>Izabela Nemaz</w:t>
      </w:r>
    </w:p>
    <w:p w14:paraId="08088C7C" w14:textId="77777777" w:rsidR="00496E95" w:rsidRPr="001361BB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RPr="001361BB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519E8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D20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AE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6D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3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4B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C6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B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6F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F07"/>
    <w:multiLevelType w:val="hybridMultilevel"/>
    <w:tmpl w:val="6D7836EE"/>
    <w:lvl w:ilvl="0" w:tplc="C186B4DE">
      <w:start w:val="1"/>
      <w:numFmt w:val="decimal"/>
      <w:lvlText w:val="%1."/>
      <w:lvlJc w:val="left"/>
      <w:pPr>
        <w:ind w:left="9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0FED3A0">
      <w:start w:val="1"/>
      <w:numFmt w:val="lowerLetter"/>
      <w:lvlText w:val="%2"/>
      <w:lvlJc w:val="left"/>
      <w:pPr>
        <w:ind w:left="1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C4CD3A6">
      <w:start w:val="1"/>
      <w:numFmt w:val="lowerRoman"/>
      <w:lvlText w:val="%3"/>
      <w:lvlJc w:val="left"/>
      <w:pPr>
        <w:ind w:left="2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E2F9F4">
      <w:start w:val="1"/>
      <w:numFmt w:val="decimal"/>
      <w:lvlText w:val="%4"/>
      <w:lvlJc w:val="left"/>
      <w:pPr>
        <w:ind w:left="3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31CC32A">
      <w:start w:val="1"/>
      <w:numFmt w:val="lowerLetter"/>
      <w:lvlText w:val="%5"/>
      <w:lvlJc w:val="left"/>
      <w:pPr>
        <w:ind w:left="3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46ADF7E">
      <w:start w:val="1"/>
      <w:numFmt w:val="lowerRoman"/>
      <w:lvlText w:val="%6"/>
      <w:lvlJc w:val="left"/>
      <w:pPr>
        <w:ind w:left="4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6E62BE">
      <w:start w:val="1"/>
      <w:numFmt w:val="decimal"/>
      <w:lvlText w:val="%7"/>
      <w:lvlJc w:val="left"/>
      <w:pPr>
        <w:ind w:left="52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9EFE28">
      <w:start w:val="1"/>
      <w:numFmt w:val="lowerLetter"/>
      <w:lvlText w:val="%8"/>
      <w:lvlJc w:val="left"/>
      <w:pPr>
        <w:ind w:left="59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544FEC">
      <w:start w:val="1"/>
      <w:numFmt w:val="lowerRoman"/>
      <w:lvlText w:val="%9"/>
      <w:lvlJc w:val="left"/>
      <w:pPr>
        <w:ind w:left="66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0C57468"/>
    <w:multiLevelType w:val="hybridMultilevel"/>
    <w:tmpl w:val="D2AEF6D0"/>
    <w:lvl w:ilvl="0" w:tplc="EC065B96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E536F89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E4BA604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B180ED4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8AAD78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5C4E52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B7655B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C9C20F0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B9C3D84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76B18E1"/>
    <w:multiLevelType w:val="hybridMultilevel"/>
    <w:tmpl w:val="623AAF08"/>
    <w:lvl w:ilvl="0" w:tplc="CA6052BC">
      <w:start w:val="1"/>
      <w:numFmt w:val="decimal"/>
      <w:lvlText w:val="%1."/>
      <w:lvlJc w:val="left"/>
      <w:pPr>
        <w:ind w:left="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9D00AC8">
      <w:start w:val="1"/>
      <w:numFmt w:val="lowerLetter"/>
      <w:lvlText w:val="%2"/>
      <w:lvlJc w:val="left"/>
      <w:pPr>
        <w:ind w:left="1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E68DD9E">
      <w:start w:val="1"/>
      <w:numFmt w:val="lowerRoman"/>
      <w:lvlText w:val="%3"/>
      <w:lvlJc w:val="left"/>
      <w:pPr>
        <w:ind w:left="22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60491C8">
      <w:start w:val="1"/>
      <w:numFmt w:val="decimal"/>
      <w:lvlText w:val="%4"/>
      <w:lvlJc w:val="left"/>
      <w:pPr>
        <w:ind w:left="29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8060562">
      <w:start w:val="1"/>
      <w:numFmt w:val="lowerLetter"/>
      <w:lvlText w:val="%5"/>
      <w:lvlJc w:val="left"/>
      <w:pPr>
        <w:ind w:left="36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204760">
      <w:start w:val="1"/>
      <w:numFmt w:val="lowerRoman"/>
      <w:lvlText w:val="%6"/>
      <w:lvlJc w:val="left"/>
      <w:pPr>
        <w:ind w:left="43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5E8842E">
      <w:start w:val="1"/>
      <w:numFmt w:val="decimal"/>
      <w:lvlText w:val="%7"/>
      <w:lvlJc w:val="left"/>
      <w:pPr>
        <w:ind w:left="51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BE2A8A2">
      <w:start w:val="1"/>
      <w:numFmt w:val="lowerLetter"/>
      <w:lvlText w:val="%8"/>
      <w:lvlJc w:val="left"/>
      <w:pPr>
        <w:ind w:left="58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50B680">
      <w:start w:val="1"/>
      <w:numFmt w:val="lowerRoman"/>
      <w:lvlText w:val="%9"/>
      <w:lvlJc w:val="left"/>
      <w:pPr>
        <w:ind w:left="65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26302596">
    <w:abstractNumId w:val="0"/>
  </w:num>
  <w:num w:numId="2" w16cid:durableId="992486930">
    <w:abstractNumId w:val="2"/>
  </w:num>
  <w:num w:numId="3" w16cid:durableId="1257250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656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11E69"/>
    <w:rsid w:val="001361BB"/>
    <w:rsid w:val="0014375F"/>
    <w:rsid w:val="00145F1D"/>
    <w:rsid w:val="0016072C"/>
    <w:rsid w:val="002555C1"/>
    <w:rsid w:val="00266706"/>
    <w:rsid w:val="002A3DFF"/>
    <w:rsid w:val="002B677A"/>
    <w:rsid w:val="003316D9"/>
    <w:rsid w:val="00341AF9"/>
    <w:rsid w:val="00357BFA"/>
    <w:rsid w:val="0038121A"/>
    <w:rsid w:val="0038657E"/>
    <w:rsid w:val="003F2E3A"/>
    <w:rsid w:val="00464030"/>
    <w:rsid w:val="004807FC"/>
    <w:rsid w:val="00496E95"/>
    <w:rsid w:val="004A683B"/>
    <w:rsid w:val="00532B20"/>
    <w:rsid w:val="00535989"/>
    <w:rsid w:val="005A324D"/>
    <w:rsid w:val="005F2C56"/>
    <w:rsid w:val="00603829"/>
    <w:rsid w:val="00666163"/>
    <w:rsid w:val="006837E4"/>
    <w:rsid w:val="0074334F"/>
    <w:rsid w:val="00747C12"/>
    <w:rsid w:val="00760CD3"/>
    <w:rsid w:val="008674C8"/>
    <w:rsid w:val="008765B7"/>
    <w:rsid w:val="008C7BB1"/>
    <w:rsid w:val="008D74A9"/>
    <w:rsid w:val="00926781"/>
    <w:rsid w:val="00952991"/>
    <w:rsid w:val="009D4F1A"/>
    <w:rsid w:val="00AD49B3"/>
    <w:rsid w:val="00B04DF3"/>
    <w:rsid w:val="00B2601A"/>
    <w:rsid w:val="00B349D1"/>
    <w:rsid w:val="00B634DA"/>
    <w:rsid w:val="00B87D2F"/>
    <w:rsid w:val="00B90C23"/>
    <w:rsid w:val="00BE3359"/>
    <w:rsid w:val="00BF5729"/>
    <w:rsid w:val="00C04CAA"/>
    <w:rsid w:val="00C37878"/>
    <w:rsid w:val="00D2181B"/>
    <w:rsid w:val="00D9622C"/>
    <w:rsid w:val="00E2769D"/>
    <w:rsid w:val="00E7549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097B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1361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61BB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2025-12-17T14:46:00Z</dcterms:created>
  <dcterms:modified xsi:type="dcterms:W3CDTF">2025-12-22T12:08:00Z</dcterms:modified>
</cp:coreProperties>
</file>