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6D1E" w14:textId="218ECDCA" w:rsidR="002464E3" w:rsidRPr="002464E3" w:rsidRDefault="002464E3" w:rsidP="002464E3">
      <w:pPr>
        <w:spacing w:after="0"/>
        <w:textAlignment w:val="auto"/>
        <w:rPr>
          <w:rFonts w:ascii="Times New Roman" w:eastAsia="Times New Roman" w:hAnsi="Times New Roman"/>
          <w:b/>
          <w:bCs/>
          <w:sz w:val="32"/>
          <w:szCs w:val="32"/>
          <w:lang w:eastAsia="hr-HR"/>
        </w:rPr>
      </w:pPr>
      <w:r w:rsidRPr="002464E3">
        <w:rPr>
          <w:rFonts w:ascii="Times New Roman" w:eastAsia="Times New Roman" w:hAnsi="Times New Roman"/>
          <w:b/>
          <w:bCs/>
          <w:sz w:val="32"/>
          <w:szCs w:val="32"/>
          <w:lang w:eastAsia="hr-HR"/>
        </w:rPr>
        <w:t>1</w:t>
      </w:r>
      <w:r>
        <w:rPr>
          <w:rFonts w:ascii="Times New Roman" w:eastAsia="Times New Roman" w:hAnsi="Times New Roman"/>
          <w:b/>
          <w:bCs/>
          <w:sz w:val="32"/>
          <w:szCs w:val="32"/>
          <w:lang w:eastAsia="hr-HR"/>
        </w:rPr>
        <w:t>1</w:t>
      </w:r>
      <w:r w:rsidRPr="002464E3">
        <w:rPr>
          <w:rFonts w:ascii="Times New Roman" w:eastAsia="Times New Roman" w:hAnsi="Times New Roman"/>
          <w:b/>
          <w:bCs/>
          <w:sz w:val="32"/>
          <w:szCs w:val="32"/>
          <w:lang w:eastAsia="hr-HR"/>
        </w:rPr>
        <w:t>.</w:t>
      </w:r>
    </w:p>
    <w:p w14:paraId="45DDB231" w14:textId="77777777" w:rsidR="002464E3" w:rsidRDefault="002464E3" w:rsidP="00FB262D">
      <w:pPr>
        <w:autoSpaceDE w:val="0"/>
        <w:adjustRightInd w:val="0"/>
        <w:spacing w:after="120"/>
        <w:jc w:val="both"/>
        <w:textAlignment w:val="auto"/>
        <w:rPr>
          <w:rFonts w:ascii="Arial" w:hAnsi="Arial" w:cs="Arial"/>
        </w:rPr>
      </w:pPr>
    </w:p>
    <w:p w14:paraId="10EBA9A7" w14:textId="180B68D1" w:rsidR="00FB262D" w:rsidRPr="00FB262D" w:rsidRDefault="00000000" w:rsidP="002464E3">
      <w:pPr>
        <w:autoSpaceDE w:val="0"/>
        <w:adjustRightInd w:val="0"/>
        <w:spacing w:after="120"/>
        <w:jc w:val="both"/>
        <w:textAlignment w:val="auto"/>
        <w:rPr>
          <w:rFonts w:ascii="Arial" w:hAnsi="Arial" w:cs="Arial"/>
        </w:rPr>
      </w:pPr>
      <w:r w:rsidRPr="00FB262D">
        <w:rPr>
          <w:rFonts w:ascii="Arial" w:hAnsi="Arial" w:cs="Arial"/>
        </w:rPr>
        <w:t xml:space="preserve">Na temelju članka 62. stavka 1. Zakona o komunalnom gospodarstvu („Narodne novine" broj 68/18., 110/18., 32/20. i 145/24.)  i članka 33. stavka 1. točke 3. Statuta Općine Jelenje „Službene novine Općine Jelenje“ 59/23. i 82/25.), Općinsko vijeće Općine Jelenje na 5. sjednici održanoj </w:t>
      </w:r>
      <w:r w:rsidR="00AC4749">
        <w:rPr>
          <w:rFonts w:ascii="Arial" w:hAnsi="Arial" w:cs="Arial"/>
        </w:rPr>
        <w:t>22</w:t>
      </w:r>
      <w:r w:rsidRPr="00FB262D">
        <w:rPr>
          <w:rFonts w:ascii="Arial" w:hAnsi="Arial" w:cs="Arial"/>
        </w:rPr>
        <w:t>. prosinca 2025. donosi</w:t>
      </w:r>
    </w:p>
    <w:p w14:paraId="3BD8370C" w14:textId="77777777" w:rsidR="00FB262D" w:rsidRPr="00FB262D" w:rsidRDefault="00000000" w:rsidP="00FB262D">
      <w:pPr>
        <w:spacing w:after="120"/>
        <w:ind w:left="2568" w:right="2448" w:hanging="11"/>
        <w:jc w:val="center"/>
        <w:textAlignment w:val="auto"/>
        <w:rPr>
          <w:rFonts w:ascii="Arial" w:hAnsi="Arial" w:cs="Arial"/>
          <w:b/>
          <w:bCs/>
        </w:rPr>
      </w:pPr>
      <w:r w:rsidRPr="00FB262D">
        <w:rPr>
          <w:rFonts w:ascii="Arial" w:hAnsi="Arial" w:cs="Arial"/>
          <w:b/>
          <w:bCs/>
        </w:rPr>
        <w:t>ODLUKU</w:t>
      </w:r>
    </w:p>
    <w:p w14:paraId="70C496DB" w14:textId="77777777" w:rsidR="00FB262D" w:rsidRPr="00FB262D" w:rsidRDefault="00000000" w:rsidP="00FB262D">
      <w:pPr>
        <w:spacing w:after="120"/>
        <w:ind w:left="1134" w:right="853" w:hanging="11"/>
        <w:jc w:val="center"/>
        <w:textAlignment w:val="auto"/>
        <w:rPr>
          <w:rFonts w:ascii="Arial" w:hAnsi="Arial" w:cs="Arial"/>
          <w:b/>
          <w:bCs/>
        </w:rPr>
      </w:pPr>
      <w:r w:rsidRPr="00FB262D">
        <w:rPr>
          <w:rFonts w:ascii="Arial" w:hAnsi="Arial" w:cs="Arial"/>
          <w:b/>
          <w:bCs/>
        </w:rPr>
        <w:t>o proglašenju komunalne infrastrukture javnim dobrom u općoj uporabi – Autobusna stanica Podhum</w:t>
      </w:r>
    </w:p>
    <w:p w14:paraId="40DC450C" w14:textId="77777777" w:rsidR="00FB262D" w:rsidRPr="00FB262D" w:rsidRDefault="00FB262D" w:rsidP="00FB262D">
      <w:pPr>
        <w:spacing w:after="120"/>
        <w:ind w:left="2568" w:right="2467"/>
        <w:jc w:val="center"/>
        <w:textAlignment w:val="auto"/>
        <w:rPr>
          <w:rFonts w:ascii="Arial" w:hAnsi="Arial" w:cs="Arial"/>
        </w:rPr>
      </w:pPr>
    </w:p>
    <w:p w14:paraId="5D51B001" w14:textId="77777777" w:rsidR="00FB262D" w:rsidRPr="00FB262D" w:rsidRDefault="00000000" w:rsidP="00FB262D">
      <w:pPr>
        <w:spacing w:after="120"/>
        <w:ind w:left="2568" w:right="2467"/>
        <w:jc w:val="center"/>
        <w:textAlignment w:val="auto"/>
        <w:rPr>
          <w:rFonts w:ascii="Arial" w:hAnsi="Arial" w:cs="Arial"/>
          <w:b/>
          <w:bCs/>
        </w:rPr>
      </w:pPr>
      <w:r w:rsidRPr="00FB262D">
        <w:rPr>
          <w:rFonts w:ascii="Arial" w:hAnsi="Arial" w:cs="Arial"/>
          <w:b/>
          <w:bCs/>
        </w:rPr>
        <w:t>Članak 1.</w:t>
      </w:r>
    </w:p>
    <w:p w14:paraId="42E3556A" w14:textId="7E798C61" w:rsidR="00FB262D" w:rsidRPr="00FB262D" w:rsidRDefault="00000000" w:rsidP="002464E3">
      <w:pPr>
        <w:spacing w:after="120"/>
        <w:ind w:left="57" w:right="52"/>
        <w:jc w:val="both"/>
        <w:textAlignment w:val="auto"/>
        <w:rPr>
          <w:rFonts w:ascii="Arial" w:hAnsi="Arial" w:cs="Arial"/>
        </w:rPr>
      </w:pPr>
      <w:r w:rsidRPr="00FB262D">
        <w:rPr>
          <w:rFonts w:ascii="Arial" w:hAnsi="Arial" w:cs="Arial"/>
        </w:rPr>
        <w:t>Ovom Odlukom proglašava se javnim dobrom u općoj uporabi u vlasništvu Općine Jelenje komunalna infrastruktura navedena u sljedećoj tablici:</w:t>
      </w:r>
    </w:p>
    <w:tbl>
      <w:tblPr>
        <w:tblStyle w:val="TableGrid"/>
        <w:tblW w:w="9360" w:type="dxa"/>
        <w:tblInd w:w="-3" w:type="dxa"/>
        <w:tblLayout w:type="fixed"/>
        <w:tblCellMar>
          <w:left w:w="29" w:type="dxa"/>
          <w:bottom w:w="36" w:type="dxa"/>
          <w:right w:w="40" w:type="dxa"/>
        </w:tblCellMar>
        <w:tblLook w:val="04A0" w:firstRow="1" w:lastRow="0" w:firstColumn="1" w:lastColumn="0" w:noHBand="0" w:noVBand="1"/>
      </w:tblPr>
      <w:tblGrid>
        <w:gridCol w:w="1134"/>
        <w:gridCol w:w="1294"/>
        <w:gridCol w:w="1118"/>
        <w:gridCol w:w="1030"/>
        <w:gridCol w:w="104"/>
        <w:gridCol w:w="1134"/>
        <w:gridCol w:w="1266"/>
        <w:gridCol w:w="1288"/>
        <w:gridCol w:w="992"/>
      </w:tblGrid>
      <w:tr w:rsidR="00692414" w14:paraId="575E4D8C" w14:textId="77777777">
        <w:trPr>
          <w:trHeight w:val="394"/>
        </w:trPr>
        <w:tc>
          <w:tcPr>
            <w:tcW w:w="1133" w:type="dxa"/>
            <w:tcBorders>
              <w:top w:val="single" w:sz="2" w:space="0" w:color="000000"/>
              <w:left w:val="single" w:sz="2" w:space="0" w:color="000000"/>
              <w:bottom w:val="single" w:sz="2" w:space="0" w:color="000000"/>
              <w:right w:val="nil"/>
            </w:tcBorders>
          </w:tcPr>
          <w:p w14:paraId="26509422" w14:textId="77777777" w:rsidR="00FB262D" w:rsidRPr="00FB262D" w:rsidRDefault="00FB262D" w:rsidP="00FB262D">
            <w:pPr>
              <w:jc w:val="center"/>
              <w:textAlignment w:val="auto"/>
              <w:rPr>
                <w:rFonts w:ascii="Arial" w:hAnsi="Arial" w:cs="Arial"/>
                <w:sz w:val="14"/>
                <w:szCs w:val="14"/>
                <w:highlight w:val="yellow"/>
                <w:lang w:val="hr-HR" w:eastAsia="hr-HR"/>
              </w:rPr>
            </w:pPr>
          </w:p>
        </w:tc>
        <w:tc>
          <w:tcPr>
            <w:tcW w:w="7231" w:type="dxa"/>
            <w:gridSpan w:val="7"/>
            <w:tcBorders>
              <w:top w:val="single" w:sz="2" w:space="0" w:color="000000"/>
              <w:left w:val="nil"/>
              <w:bottom w:val="single" w:sz="2" w:space="0" w:color="000000"/>
              <w:right w:val="nil"/>
            </w:tcBorders>
            <w:hideMark/>
          </w:tcPr>
          <w:p w14:paraId="7C4FA0E8" w14:textId="77777777" w:rsidR="00FB262D" w:rsidRPr="00FB262D" w:rsidRDefault="00000000" w:rsidP="00FB262D">
            <w:pPr>
              <w:ind w:left="122"/>
              <w:jc w:val="center"/>
              <w:textAlignment w:val="auto"/>
              <w:rPr>
                <w:rFonts w:ascii="Arial" w:hAnsi="Arial" w:cs="Arial"/>
                <w:sz w:val="14"/>
                <w:szCs w:val="14"/>
                <w:lang w:val="pl-PL" w:eastAsia="hr-HR"/>
              </w:rPr>
            </w:pPr>
            <w:r w:rsidRPr="00FB262D">
              <w:rPr>
                <w:rFonts w:ascii="Arial" w:hAnsi="Arial" w:cs="Arial"/>
                <w:sz w:val="14"/>
                <w:szCs w:val="14"/>
                <w:lang w:val="pl-PL" w:eastAsia="hr-HR"/>
              </w:rPr>
              <w:t>POPIS KATASTARSKIH ČESTICA U OBUHVATU KOMUNALNE INFRASTRUKTURE AUTOBUSNA STANICA PODHUM</w:t>
            </w:r>
          </w:p>
        </w:tc>
        <w:tc>
          <w:tcPr>
            <w:tcW w:w="992" w:type="dxa"/>
            <w:tcBorders>
              <w:top w:val="single" w:sz="2" w:space="0" w:color="000000"/>
              <w:left w:val="nil"/>
              <w:bottom w:val="single" w:sz="2" w:space="0" w:color="000000"/>
              <w:right w:val="single" w:sz="2" w:space="0" w:color="000000"/>
            </w:tcBorders>
          </w:tcPr>
          <w:p w14:paraId="15DCEC34" w14:textId="77777777" w:rsidR="00FB262D" w:rsidRPr="00FB262D" w:rsidRDefault="00FB262D" w:rsidP="00FB262D">
            <w:pPr>
              <w:jc w:val="center"/>
              <w:textAlignment w:val="auto"/>
              <w:rPr>
                <w:rFonts w:ascii="Arial" w:hAnsi="Arial" w:cs="Arial"/>
                <w:sz w:val="14"/>
                <w:szCs w:val="14"/>
                <w:lang w:val="pl-PL" w:eastAsia="hr-HR"/>
              </w:rPr>
            </w:pPr>
          </w:p>
        </w:tc>
      </w:tr>
      <w:tr w:rsidR="00692414" w14:paraId="495525E7" w14:textId="77777777">
        <w:trPr>
          <w:trHeight w:val="230"/>
        </w:trPr>
        <w:tc>
          <w:tcPr>
            <w:tcW w:w="4574" w:type="dxa"/>
            <w:gridSpan w:val="4"/>
            <w:tcBorders>
              <w:top w:val="single" w:sz="2" w:space="0" w:color="000000"/>
              <w:left w:val="single" w:sz="2" w:space="0" w:color="000000"/>
              <w:bottom w:val="single" w:sz="2" w:space="0" w:color="000000"/>
              <w:right w:val="single" w:sz="4" w:space="0" w:color="auto"/>
            </w:tcBorders>
            <w:hideMark/>
          </w:tcPr>
          <w:p w14:paraId="57D1D8B6" w14:textId="77777777" w:rsidR="00FB262D" w:rsidRPr="00FB262D" w:rsidRDefault="00000000" w:rsidP="00FB262D">
            <w:pPr>
              <w:ind w:left="118"/>
              <w:jc w:val="center"/>
              <w:textAlignment w:val="auto"/>
              <w:rPr>
                <w:rFonts w:ascii="Arial" w:hAnsi="Arial" w:cs="Arial"/>
                <w:sz w:val="14"/>
                <w:szCs w:val="14"/>
                <w:lang w:eastAsia="hr-HR"/>
              </w:rPr>
            </w:pPr>
            <w:r w:rsidRPr="00FB262D">
              <w:rPr>
                <w:rFonts w:ascii="Arial" w:hAnsi="Arial" w:cs="Arial"/>
                <w:sz w:val="14"/>
                <w:szCs w:val="14"/>
                <w:lang w:eastAsia="hr-HR"/>
              </w:rPr>
              <w:t>KATASTAR</w:t>
            </w:r>
          </w:p>
        </w:tc>
        <w:tc>
          <w:tcPr>
            <w:tcW w:w="104" w:type="dxa"/>
            <w:tcBorders>
              <w:top w:val="single" w:sz="4" w:space="0" w:color="auto"/>
              <w:left w:val="single" w:sz="4" w:space="0" w:color="auto"/>
              <w:bottom w:val="single" w:sz="2" w:space="0" w:color="000000"/>
              <w:right w:val="single" w:sz="4" w:space="0" w:color="auto"/>
            </w:tcBorders>
          </w:tcPr>
          <w:p w14:paraId="2873AAB1" w14:textId="77777777" w:rsidR="00FB262D" w:rsidRPr="00FB262D" w:rsidRDefault="00FB262D" w:rsidP="00FB262D">
            <w:pPr>
              <w:jc w:val="center"/>
              <w:textAlignment w:val="auto"/>
              <w:rPr>
                <w:rFonts w:ascii="Arial" w:hAnsi="Arial" w:cs="Arial"/>
                <w:sz w:val="14"/>
                <w:szCs w:val="14"/>
                <w:lang w:eastAsia="hr-HR"/>
              </w:rPr>
            </w:pPr>
          </w:p>
        </w:tc>
        <w:tc>
          <w:tcPr>
            <w:tcW w:w="4678" w:type="dxa"/>
            <w:gridSpan w:val="4"/>
            <w:tcBorders>
              <w:top w:val="single" w:sz="2" w:space="0" w:color="000000"/>
              <w:left w:val="single" w:sz="4" w:space="0" w:color="auto"/>
              <w:bottom w:val="single" w:sz="2" w:space="0" w:color="000000"/>
              <w:right w:val="single" w:sz="2" w:space="0" w:color="000000"/>
            </w:tcBorders>
            <w:hideMark/>
          </w:tcPr>
          <w:p w14:paraId="78680357" w14:textId="77777777" w:rsidR="00FB262D" w:rsidRPr="00FB262D" w:rsidRDefault="00000000" w:rsidP="00FB262D">
            <w:pPr>
              <w:jc w:val="center"/>
              <w:textAlignment w:val="auto"/>
              <w:rPr>
                <w:rFonts w:ascii="Arial" w:hAnsi="Arial" w:cs="Arial"/>
                <w:sz w:val="14"/>
                <w:szCs w:val="14"/>
                <w:lang w:eastAsia="hr-HR"/>
              </w:rPr>
            </w:pPr>
            <w:r w:rsidRPr="00FB262D">
              <w:rPr>
                <w:rFonts w:ascii="Arial" w:hAnsi="Arial" w:cs="Arial"/>
                <w:sz w:val="14"/>
                <w:szCs w:val="14"/>
                <w:lang w:eastAsia="hr-HR"/>
              </w:rPr>
              <w:t>ZEMLJIŠNA KNJIGA</w:t>
            </w:r>
          </w:p>
        </w:tc>
      </w:tr>
      <w:tr w:rsidR="00692414" w14:paraId="1101E0B2" w14:textId="77777777">
        <w:trPr>
          <w:trHeight w:val="816"/>
        </w:trPr>
        <w:tc>
          <w:tcPr>
            <w:tcW w:w="1133" w:type="dxa"/>
            <w:tcBorders>
              <w:top w:val="single" w:sz="2" w:space="0" w:color="000000"/>
              <w:left w:val="single" w:sz="2" w:space="0" w:color="000000"/>
              <w:bottom w:val="single" w:sz="2" w:space="0" w:color="000000"/>
              <w:right w:val="single" w:sz="2" w:space="0" w:color="000000"/>
            </w:tcBorders>
            <w:vAlign w:val="center"/>
            <w:hideMark/>
          </w:tcPr>
          <w:p w14:paraId="629BEE26" w14:textId="77777777" w:rsidR="00FB262D" w:rsidRPr="00FB262D" w:rsidRDefault="00000000" w:rsidP="00FB262D">
            <w:pPr>
              <w:jc w:val="center"/>
              <w:textAlignment w:val="auto"/>
              <w:rPr>
                <w:rFonts w:ascii="Arial" w:hAnsi="Arial" w:cs="Arial"/>
                <w:sz w:val="14"/>
                <w:szCs w:val="14"/>
                <w:lang w:eastAsia="hr-HR"/>
              </w:rPr>
            </w:pPr>
            <w:r w:rsidRPr="00FB262D">
              <w:rPr>
                <w:rFonts w:ascii="Arial" w:hAnsi="Arial" w:cs="Arial"/>
                <w:sz w:val="14"/>
                <w:szCs w:val="14"/>
                <w:lang w:eastAsia="hr-HR"/>
              </w:rPr>
              <w:t>KATASTARSKA OPĆINA</w:t>
            </w:r>
          </w:p>
        </w:tc>
        <w:tc>
          <w:tcPr>
            <w:tcW w:w="1293" w:type="dxa"/>
            <w:tcBorders>
              <w:top w:val="single" w:sz="2" w:space="0" w:color="000000"/>
              <w:left w:val="single" w:sz="2" w:space="0" w:color="000000"/>
              <w:bottom w:val="single" w:sz="2" w:space="0" w:color="000000"/>
              <w:right w:val="single" w:sz="2" w:space="0" w:color="000000"/>
            </w:tcBorders>
            <w:vAlign w:val="center"/>
            <w:hideMark/>
          </w:tcPr>
          <w:p w14:paraId="130C22D7" w14:textId="77777777" w:rsidR="00FB262D" w:rsidRPr="00FB262D" w:rsidRDefault="00000000" w:rsidP="00FB262D">
            <w:pPr>
              <w:jc w:val="center"/>
              <w:textAlignment w:val="auto"/>
              <w:rPr>
                <w:rFonts w:ascii="Arial" w:hAnsi="Arial" w:cs="Arial"/>
                <w:b/>
                <w:bCs/>
                <w:sz w:val="14"/>
                <w:szCs w:val="14"/>
                <w:lang w:eastAsia="hr-HR"/>
              </w:rPr>
            </w:pPr>
            <w:r w:rsidRPr="00FB262D">
              <w:rPr>
                <w:rFonts w:ascii="Arial" w:hAnsi="Arial" w:cs="Arial"/>
                <w:b/>
                <w:bCs/>
                <w:sz w:val="14"/>
                <w:szCs w:val="14"/>
                <w:lang w:eastAsia="hr-HR"/>
              </w:rPr>
              <w:t>NOVONASTALA</w:t>
            </w:r>
          </w:p>
          <w:p w14:paraId="53A14F52" w14:textId="77777777" w:rsidR="00FB262D" w:rsidRPr="00FB262D" w:rsidRDefault="00000000" w:rsidP="00FB262D">
            <w:pPr>
              <w:jc w:val="center"/>
              <w:textAlignment w:val="auto"/>
              <w:rPr>
                <w:rFonts w:ascii="Arial" w:hAnsi="Arial" w:cs="Arial"/>
                <w:b/>
                <w:bCs/>
                <w:sz w:val="14"/>
                <w:szCs w:val="14"/>
                <w:lang w:eastAsia="hr-HR"/>
              </w:rPr>
            </w:pPr>
            <w:r w:rsidRPr="00FB262D">
              <w:rPr>
                <w:rFonts w:ascii="Arial" w:hAnsi="Arial" w:cs="Arial"/>
                <w:b/>
                <w:bCs/>
                <w:sz w:val="14"/>
                <w:szCs w:val="14"/>
                <w:lang w:eastAsia="hr-HR"/>
              </w:rPr>
              <w:t>KATASTARSKA ČESTICA</w:t>
            </w:r>
          </w:p>
        </w:tc>
        <w:tc>
          <w:tcPr>
            <w:tcW w:w="1118" w:type="dxa"/>
            <w:tcBorders>
              <w:top w:val="single" w:sz="2" w:space="0" w:color="000000"/>
              <w:left w:val="single" w:sz="2" w:space="0" w:color="000000"/>
              <w:bottom w:val="single" w:sz="2" w:space="0" w:color="000000"/>
              <w:right w:val="single" w:sz="2" w:space="0" w:color="000000"/>
            </w:tcBorders>
            <w:vAlign w:val="center"/>
            <w:hideMark/>
          </w:tcPr>
          <w:p w14:paraId="6E6CE5FC" w14:textId="77777777" w:rsidR="00FB262D" w:rsidRPr="00FB262D" w:rsidRDefault="00000000" w:rsidP="00FB262D">
            <w:pPr>
              <w:jc w:val="center"/>
              <w:textAlignment w:val="auto"/>
              <w:rPr>
                <w:rFonts w:ascii="Arial" w:hAnsi="Arial" w:cs="Arial"/>
                <w:sz w:val="14"/>
                <w:szCs w:val="14"/>
                <w:lang w:eastAsia="hr-HR"/>
              </w:rPr>
            </w:pPr>
            <w:r w:rsidRPr="00FB262D">
              <w:rPr>
                <w:rFonts w:ascii="Arial" w:hAnsi="Arial" w:cs="Arial"/>
                <w:sz w:val="14"/>
                <w:szCs w:val="14"/>
                <w:lang w:eastAsia="hr-HR"/>
              </w:rPr>
              <w:t>KATASTARSKA OPĆINA</w:t>
            </w:r>
          </w:p>
        </w:tc>
        <w:tc>
          <w:tcPr>
            <w:tcW w:w="1030" w:type="dxa"/>
            <w:tcBorders>
              <w:top w:val="single" w:sz="2" w:space="0" w:color="000000"/>
              <w:left w:val="single" w:sz="2" w:space="0" w:color="000000"/>
              <w:bottom w:val="single" w:sz="2" w:space="0" w:color="000000"/>
              <w:right w:val="single" w:sz="4" w:space="0" w:color="auto"/>
            </w:tcBorders>
            <w:vAlign w:val="bottom"/>
            <w:hideMark/>
          </w:tcPr>
          <w:p w14:paraId="62BFF5A6" w14:textId="77777777" w:rsidR="00FB262D" w:rsidRPr="00FB262D" w:rsidRDefault="00000000" w:rsidP="00FB262D">
            <w:pPr>
              <w:ind w:left="8"/>
              <w:jc w:val="center"/>
              <w:textAlignment w:val="auto"/>
              <w:rPr>
                <w:rFonts w:ascii="Arial" w:hAnsi="Arial" w:cs="Arial"/>
                <w:sz w:val="14"/>
                <w:szCs w:val="14"/>
                <w:lang w:val="pl-PL" w:eastAsia="hr-HR"/>
              </w:rPr>
            </w:pPr>
            <w:r w:rsidRPr="00FB262D">
              <w:rPr>
                <w:rFonts w:ascii="Arial" w:hAnsi="Arial" w:cs="Arial"/>
                <w:sz w:val="14"/>
                <w:szCs w:val="14"/>
                <w:lang w:val="pl-PL" w:eastAsia="hr-HR"/>
              </w:rPr>
              <w:t>ČESTICE OD KOJIH</w:t>
            </w:r>
          </w:p>
          <w:p w14:paraId="793FB9F1" w14:textId="77777777" w:rsidR="00FB262D" w:rsidRPr="00FB262D" w:rsidRDefault="00000000" w:rsidP="00FB262D">
            <w:pPr>
              <w:ind w:left="5"/>
              <w:jc w:val="center"/>
              <w:textAlignment w:val="auto"/>
              <w:rPr>
                <w:rFonts w:ascii="Arial" w:hAnsi="Arial" w:cs="Arial"/>
                <w:sz w:val="14"/>
                <w:szCs w:val="14"/>
                <w:lang w:val="pl-PL" w:eastAsia="hr-HR"/>
              </w:rPr>
            </w:pPr>
            <w:r w:rsidRPr="00FB262D">
              <w:rPr>
                <w:rFonts w:ascii="Arial" w:hAnsi="Arial" w:cs="Arial"/>
                <w:sz w:val="14"/>
                <w:szCs w:val="14"/>
                <w:lang w:val="pl-PL" w:eastAsia="hr-HR"/>
              </w:rPr>
              <w:t>NASTAJE</w:t>
            </w:r>
          </w:p>
          <w:p w14:paraId="1CCD4E2F" w14:textId="77777777" w:rsidR="00FB262D" w:rsidRPr="00FB262D" w:rsidRDefault="00000000" w:rsidP="00FB262D">
            <w:pPr>
              <w:jc w:val="center"/>
              <w:textAlignment w:val="auto"/>
              <w:rPr>
                <w:rFonts w:ascii="Arial" w:hAnsi="Arial" w:cs="Arial"/>
                <w:sz w:val="14"/>
                <w:szCs w:val="14"/>
                <w:lang w:val="pl-PL" w:eastAsia="hr-HR"/>
              </w:rPr>
            </w:pPr>
            <w:r w:rsidRPr="00FB262D">
              <w:rPr>
                <w:rFonts w:ascii="Arial" w:hAnsi="Arial" w:cs="Arial"/>
                <w:sz w:val="14"/>
                <w:szCs w:val="14"/>
                <w:lang w:val="pl-PL" w:eastAsia="hr-HR"/>
              </w:rPr>
              <w:t>NOVONASTALA k.č.</w:t>
            </w:r>
          </w:p>
        </w:tc>
        <w:tc>
          <w:tcPr>
            <w:tcW w:w="104" w:type="dxa"/>
            <w:tcBorders>
              <w:top w:val="single" w:sz="2" w:space="0" w:color="000000"/>
              <w:left w:val="single" w:sz="4" w:space="0" w:color="auto"/>
              <w:bottom w:val="single" w:sz="2" w:space="0" w:color="000000"/>
              <w:right w:val="single" w:sz="4" w:space="0" w:color="auto"/>
            </w:tcBorders>
          </w:tcPr>
          <w:p w14:paraId="0B3D2FD4" w14:textId="77777777" w:rsidR="00FB262D" w:rsidRPr="00FB262D" w:rsidRDefault="00FB262D" w:rsidP="00FB262D">
            <w:pPr>
              <w:jc w:val="center"/>
              <w:textAlignment w:val="auto"/>
              <w:rPr>
                <w:rFonts w:ascii="Arial" w:hAnsi="Arial" w:cs="Arial"/>
                <w:sz w:val="14"/>
                <w:szCs w:val="14"/>
                <w:lang w:val="pl-PL" w:eastAsia="hr-HR"/>
              </w:rPr>
            </w:pPr>
          </w:p>
        </w:tc>
        <w:tc>
          <w:tcPr>
            <w:tcW w:w="1134" w:type="dxa"/>
            <w:tcBorders>
              <w:top w:val="single" w:sz="2" w:space="0" w:color="000000"/>
              <w:left w:val="single" w:sz="4" w:space="0" w:color="auto"/>
              <w:bottom w:val="single" w:sz="2" w:space="0" w:color="000000"/>
              <w:right w:val="single" w:sz="2" w:space="0" w:color="000000"/>
            </w:tcBorders>
            <w:vAlign w:val="center"/>
            <w:hideMark/>
          </w:tcPr>
          <w:p w14:paraId="456087D2" w14:textId="77777777" w:rsidR="00FB262D" w:rsidRPr="00FB262D" w:rsidRDefault="00000000" w:rsidP="00FB262D">
            <w:pPr>
              <w:jc w:val="center"/>
              <w:textAlignment w:val="auto"/>
              <w:rPr>
                <w:rFonts w:ascii="Arial" w:hAnsi="Arial" w:cs="Arial"/>
                <w:sz w:val="14"/>
                <w:szCs w:val="14"/>
                <w:lang w:eastAsia="hr-HR"/>
              </w:rPr>
            </w:pPr>
            <w:r w:rsidRPr="00FB262D">
              <w:rPr>
                <w:rFonts w:ascii="Arial" w:hAnsi="Arial" w:cs="Arial"/>
                <w:sz w:val="14"/>
                <w:szCs w:val="14"/>
                <w:lang w:eastAsia="hr-HR"/>
              </w:rPr>
              <w:t>KATASTARSKA OPĆINA</w:t>
            </w:r>
          </w:p>
        </w:tc>
        <w:tc>
          <w:tcPr>
            <w:tcW w:w="1265" w:type="dxa"/>
            <w:tcBorders>
              <w:top w:val="single" w:sz="2" w:space="0" w:color="000000"/>
              <w:left w:val="single" w:sz="2" w:space="0" w:color="000000"/>
              <w:bottom w:val="single" w:sz="2" w:space="0" w:color="000000"/>
              <w:right w:val="single" w:sz="2" w:space="0" w:color="000000"/>
            </w:tcBorders>
            <w:vAlign w:val="center"/>
            <w:hideMark/>
          </w:tcPr>
          <w:p w14:paraId="234758C9" w14:textId="77777777" w:rsidR="00FB262D" w:rsidRPr="00FB262D" w:rsidRDefault="00000000" w:rsidP="00FB262D">
            <w:pPr>
              <w:jc w:val="center"/>
              <w:textAlignment w:val="auto"/>
              <w:rPr>
                <w:rFonts w:ascii="Arial" w:hAnsi="Arial" w:cs="Arial"/>
                <w:b/>
                <w:bCs/>
                <w:sz w:val="14"/>
                <w:szCs w:val="14"/>
                <w:lang w:eastAsia="hr-HR"/>
              </w:rPr>
            </w:pPr>
            <w:r w:rsidRPr="00FB262D">
              <w:rPr>
                <w:rFonts w:ascii="Arial" w:hAnsi="Arial" w:cs="Arial"/>
                <w:b/>
                <w:bCs/>
                <w:sz w:val="14"/>
                <w:szCs w:val="14"/>
                <w:lang w:eastAsia="hr-HR"/>
              </w:rPr>
              <w:t>NOVONASTALA</w:t>
            </w:r>
          </w:p>
          <w:p w14:paraId="0325D42A" w14:textId="77777777" w:rsidR="00FB262D" w:rsidRPr="00FB262D" w:rsidRDefault="00000000" w:rsidP="00FB262D">
            <w:pPr>
              <w:jc w:val="center"/>
              <w:textAlignment w:val="auto"/>
              <w:rPr>
                <w:rFonts w:ascii="Arial" w:hAnsi="Arial" w:cs="Arial"/>
                <w:b/>
                <w:bCs/>
                <w:sz w:val="14"/>
                <w:szCs w:val="14"/>
                <w:lang w:eastAsia="hr-HR"/>
              </w:rPr>
            </w:pPr>
            <w:r w:rsidRPr="00FB262D">
              <w:rPr>
                <w:rFonts w:ascii="Arial" w:hAnsi="Arial" w:cs="Arial"/>
                <w:b/>
                <w:bCs/>
                <w:sz w:val="14"/>
                <w:szCs w:val="14"/>
                <w:lang w:eastAsia="hr-HR"/>
              </w:rPr>
              <w:t>KATASTARSKA ČESTICA</w:t>
            </w:r>
          </w:p>
        </w:tc>
        <w:tc>
          <w:tcPr>
            <w:tcW w:w="1287" w:type="dxa"/>
            <w:tcBorders>
              <w:top w:val="single" w:sz="2" w:space="0" w:color="000000"/>
              <w:left w:val="single" w:sz="2" w:space="0" w:color="000000"/>
              <w:bottom w:val="single" w:sz="2" w:space="0" w:color="000000"/>
              <w:right w:val="single" w:sz="2" w:space="0" w:color="000000"/>
            </w:tcBorders>
            <w:vAlign w:val="center"/>
            <w:hideMark/>
          </w:tcPr>
          <w:p w14:paraId="5D490B20" w14:textId="77777777" w:rsidR="00FB262D" w:rsidRPr="00FB262D" w:rsidRDefault="00000000" w:rsidP="00FB262D">
            <w:pPr>
              <w:ind w:left="58"/>
              <w:jc w:val="center"/>
              <w:textAlignment w:val="auto"/>
              <w:rPr>
                <w:rFonts w:ascii="Arial" w:hAnsi="Arial" w:cs="Arial"/>
                <w:sz w:val="14"/>
                <w:szCs w:val="14"/>
                <w:lang w:eastAsia="hr-HR"/>
              </w:rPr>
            </w:pPr>
            <w:r w:rsidRPr="00FB262D">
              <w:rPr>
                <w:rFonts w:ascii="Arial" w:hAnsi="Arial" w:cs="Arial"/>
                <w:sz w:val="14"/>
                <w:szCs w:val="14"/>
                <w:lang w:eastAsia="hr-HR"/>
              </w:rPr>
              <w:t>KATASTARSKA OPĆINA</w:t>
            </w:r>
          </w:p>
        </w:tc>
        <w:tc>
          <w:tcPr>
            <w:tcW w:w="992" w:type="dxa"/>
            <w:tcBorders>
              <w:top w:val="single" w:sz="2" w:space="0" w:color="000000"/>
              <w:left w:val="single" w:sz="2" w:space="0" w:color="000000"/>
              <w:bottom w:val="single" w:sz="2" w:space="0" w:color="000000"/>
              <w:right w:val="single" w:sz="2" w:space="0" w:color="000000"/>
            </w:tcBorders>
            <w:hideMark/>
          </w:tcPr>
          <w:p w14:paraId="563CA97C" w14:textId="77777777" w:rsidR="00FB262D" w:rsidRPr="00FB262D" w:rsidRDefault="00000000" w:rsidP="00FB262D">
            <w:pPr>
              <w:ind w:left="14"/>
              <w:jc w:val="center"/>
              <w:textAlignment w:val="auto"/>
              <w:rPr>
                <w:rFonts w:ascii="Arial" w:hAnsi="Arial" w:cs="Arial"/>
                <w:sz w:val="14"/>
                <w:szCs w:val="14"/>
                <w:lang w:val="pl-PL" w:eastAsia="hr-HR"/>
              </w:rPr>
            </w:pPr>
            <w:r w:rsidRPr="00FB262D">
              <w:rPr>
                <w:rFonts w:ascii="Arial" w:hAnsi="Arial" w:cs="Arial"/>
                <w:sz w:val="14"/>
                <w:szCs w:val="14"/>
                <w:lang w:val="pl-PL" w:eastAsia="hr-HR"/>
              </w:rPr>
              <w:t>KATASTARSKE</w:t>
            </w:r>
          </w:p>
          <w:p w14:paraId="703EE93D" w14:textId="77777777" w:rsidR="00FB262D" w:rsidRPr="00FB262D" w:rsidRDefault="00000000" w:rsidP="00FB262D">
            <w:pPr>
              <w:jc w:val="center"/>
              <w:textAlignment w:val="auto"/>
              <w:rPr>
                <w:rFonts w:ascii="Arial" w:hAnsi="Arial" w:cs="Arial"/>
                <w:sz w:val="14"/>
                <w:szCs w:val="14"/>
                <w:lang w:val="pl-PL" w:eastAsia="hr-HR"/>
              </w:rPr>
            </w:pPr>
            <w:r w:rsidRPr="00FB262D">
              <w:rPr>
                <w:rFonts w:ascii="Arial" w:hAnsi="Arial" w:cs="Arial"/>
                <w:sz w:val="14"/>
                <w:szCs w:val="14"/>
                <w:lang w:val="pl-PL" w:eastAsia="hr-HR"/>
              </w:rPr>
              <w:t>ČESTICE OD KOJIH</w:t>
            </w:r>
          </w:p>
          <w:p w14:paraId="3886B848" w14:textId="77777777" w:rsidR="00FB262D" w:rsidRPr="00FB262D" w:rsidRDefault="00000000" w:rsidP="00FB262D">
            <w:pPr>
              <w:jc w:val="center"/>
              <w:textAlignment w:val="auto"/>
              <w:rPr>
                <w:rFonts w:ascii="Arial" w:hAnsi="Arial" w:cs="Arial"/>
                <w:sz w:val="14"/>
                <w:szCs w:val="14"/>
                <w:lang w:val="pl-PL" w:eastAsia="hr-HR"/>
              </w:rPr>
            </w:pPr>
            <w:r w:rsidRPr="00FB262D">
              <w:rPr>
                <w:rFonts w:ascii="Arial" w:hAnsi="Arial" w:cs="Arial"/>
                <w:sz w:val="14"/>
                <w:szCs w:val="14"/>
                <w:lang w:val="pl-PL" w:eastAsia="hr-HR"/>
              </w:rPr>
              <w:t>NASTAJE</w:t>
            </w:r>
          </w:p>
          <w:p w14:paraId="23586405" w14:textId="77777777" w:rsidR="00FB262D" w:rsidRPr="00FB262D" w:rsidRDefault="00000000" w:rsidP="00FB262D">
            <w:pPr>
              <w:jc w:val="center"/>
              <w:textAlignment w:val="auto"/>
              <w:rPr>
                <w:rFonts w:ascii="Arial" w:hAnsi="Arial" w:cs="Arial"/>
                <w:sz w:val="14"/>
                <w:szCs w:val="14"/>
                <w:lang w:val="pl-PL" w:eastAsia="hr-HR"/>
              </w:rPr>
            </w:pPr>
            <w:r w:rsidRPr="00FB262D">
              <w:rPr>
                <w:rFonts w:ascii="Arial" w:hAnsi="Arial" w:cs="Arial"/>
                <w:sz w:val="14"/>
                <w:szCs w:val="14"/>
                <w:lang w:val="pl-PL" w:eastAsia="hr-HR"/>
              </w:rPr>
              <w:t>NOVONASTALA k.č.</w:t>
            </w:r>
          </w:p>
        </w:tc>
      </w:tr>
      <w:tr w:rsidR="00692414" w14:paraId="611116AE" w14:textId="77777777">
        <w:trPr>
          <w:trHeight w:val="352"/>
        </w:trPr>
        <w:tc>
          <w:tcPr>
            <w:tcW w:w="1133" w:type="dxa"/>
            <w:tcBorders>
              <w:top w:val="single" w:sz="2" w:space="0" w:color="000000"/>
              <w:left w:val="single" w:sz="2" w:space="0" w:color="000000"/>
              <w:bottom w:val="single" w:sz="2" w:space="0" w:color="000000"/>
              <w:right w:val="single" w:sz="2" w:space="0" w:color="000000"/>
            </w:tcBorders>
            <w:vAlign w:val="center"/>
            <w:hideMark/>
          </w:tcPr>
          <w:p w14:paraId="1015CE14" w14:textId="77777777" w:rsidR="00FB262D" w:rsidRPr="00FB262D" w:rsidRDefault="00000000" w:rsidP="00FB262D">
            <w:pPr>
              <w:ind w:left="26"/>
              <w:textAlignment w:val="auto"/>
              <w:rPr>
                <w:rFonts w:ascii="Arial" w:hAnsi="Arial" w:cs="Arial"/>
                <w:sz w:val="14"/>
                <w:szCs w:val="14"/>
                <w:lang w:eastAsia="hr-HR"/>
              </w:rPr>
            </w:pPr>
            <w:r w:rsidRPr="00FB262D">
              <w:rPr>
                <w:rFonts w:ascii="Arial" w:hAnsi="Arial" w:cs="Arial"/>
                <w:sz w:val="14"/>
                <w:szCs w:val="14"/>
                <w:lang w:eastAsia="hr-HR"/>
              </w:rPr>
              <w:t>PODHUM</w:t>
            </w:r>
          </w:p>
        </w:tc>
        <w:tc>
          <w:tcPr>
            <w:tcW w:w="1293" w:type="dxa"/>
            <w:tcBorders>
              <w:top w:val="single" w:sz="2" w:space="0" w:color="000000"/>
              <w:left w:val="single" w:sz="2" w:space="0" w:color="000000"/>
              <w:bottom w:val="single" w:sz="2" w:space="0" w:color="000000"/>
              <w:right w:val="single" w:sz="2" w:space="0" w:color="000000"/>
            </w:tcBorders>
            <w:vAlign w:val="center"/>
            <w:hideMark/>
          </w:tcPr>
          <w:p w14:paraId="2F8F9EB2" w14:textId="77777777" w:rsidR="00FB262D" w:rsidRPr="00FB262D" w:rsidRDefault="00000000" w:rsidP="00FB262D">
            <w:pPr>
              <w:ind w:left="24"/>
              <w:jc w:val="center"/>
              <w:textAlignment w:val="auto"/>
              <w:rPr>
                <w:rFonts w:ascii="Arial" w:hAnsi="Arial" w:cs="Arial"/>
                <w:b/>
                <w:bCs/>
                <w:sz w:val="14"/>
                <w:szCs w:val="14"/>
                <w:lang w:eastAsia="hr-HR"/>
              </w:rPr>
            </w:pPr>
            <w:r w:rsidRPr="00FB262D">
              <w:rPr>
                <w:rFonts w:ascii="Arial" w:hAnsi="Arial" w:cs="Arial"/>
                <w:b/>
                <w:bCs/>
                <w:sz w:val="14"/>
                <w:szCs w:val="14"/>
                <w:lang w:eastAsia="hr-HR"/>
              </w:rPr>
              <w:t>6568</w:t>
            </w:r>
          </w:p>
        </w:tc>
        <w:tc>
          <w:tcPr>
            <w:tcW w:w="1118" w:type="dxa"/>
            <w:tcBorders>
              <w:top w:val="single" w:sz="2" w:space="0" w:color="000000"/>
              <w:left w:val="single" w:sz="2" w:space="0" w:color="000000"/>
              <w:bottom w:val="single" w:sz="2" w:space="0" w:color="000000"/>
              <w:right w:val="single" w:sz="2" w:space="0" w:color="000000"/>
            </w:tcBorders>
            <w:vAlign w:val="center"/>
            <w:hideMark/>
          </w:tcPr>
          <w:p w14:paraId="33C7ECCE" w14:textId="77777777" w:rsidR="00FB262D" w:rsidRPr="00FB262D" w:rsidRDefault="00000000" w:rsidP="00FB262D">
            <w:pPr>
              <w:ind w:left="28"/>
              <w:jc w:val="center"/>
              <w:textAlignment w:val="auto"/>
              <w:rPr>
                <w:rFonts w:ascii="Arial" w:hAnsi="Arial" w:cs="Arial"/>
                <w:sz w:val="14"/>
                <w:szCs w:val="14"/>
                <w:lang w:eastAsia="hr-HR"/>
              </w:rPr>
            </w:pPr>
            <w:r w:rsidRPr="00FB262D">
              <w:rPr>
                <w:rFonts w:ascii="Arial" w:hAnsi="Arial" w:cs="Arial"/>
                <w:sz w:val="14"/>
                <w:szCs w:val="14"/>
                <w:lang w:eastAsia="hr-HR"/>
              </w:rPr>
              <w:t>PODHUM</w:t>
            </w:r>
          </w:p>
        </w:tc>
        <w:tc>
          <w:tcPr>
            <w:tcW w:w="1030" w:type="dxa"/>
            <w:tcBorders>
              <w:top w:val="single" w:sz="2" w:space="0" w:color="000000"/>
              <w:left w:val="single" w:sz="2" w:space="0" w:color="000000"/>
              <w:bottom w:val="single" w:sz="2" w:space="0" w:color="000000"/>
              <w:right w:val="single" w:sz="4" w:space="0" w:color="auto"/>
            </w:tcBorders>
            <w:vAlign w:val="center"/>
            <w:hideMark/>
          </w:tcPr>
          <w:p w14:paraId="17D46205" w14:textId="77777777" w:rsidR="00FB262D" w:rsidRPr="00FB262D" w:rsidRDefault="00000000" w:rsidP="00FB262D">
            <w:pPr>
              <w:ind w:left="24"/>
              <w:jc w:val="center"/>
              <w:textAlignment w:val="auto"/>
              <w:rPr>
                <w:rFonts w:ascii="Arial" w:hAnsi="Arial" w:cs="Arial"/>
                <w:sz w:val="14"/>
                <w:szCs w:val="14"/>
                <w:lang w:eastAsia="hr-HR"/>
              </w:rPr>
            </w:pPr>
            <w:r w:rsidRPr="00FB262D">
              <w:rPr>
                <w:rFonts w:ascii="Arial" w:hAnsi="Arial" w:cs="Arial"/>
                <w:sz w:val="14"/>
                <w:szCs w:val="14"/>
                <w:lang w:eastAsia="hr-HR"/>
              </w:rPr>
              <w:t>1768/2</w:t>
            </w:r>
          </w:p>
        </w:tc>
        <w:tc>
          <w:tcPr>
            <w:tcW w:w="104" w:type="dxa"/>
            <w:tcBorders>
              <w:top w:val="single" w:sz="2" w:space="0" w:color="000000"/>
              <w:left w:val="single" w:sz="4" w:space="0" w:color="auto"/>
              <w:bottom w:val="single" w:sz="4" w:space="0" w:color="auto"/>
              <w:right w:val="single" w:sz="4" w:space="0" w:color="auto"/>
            </w:tcBorders>
            <w:vAlign w:val="center"/>
          </w:tcPr>
          <w:p w14:paraId="49C122B9" w14:textId="77777777" w:rsidR="00FB262D" w:rsidRPr="00FB262D" w:rsidRDefault="00FB262D" w:rsidP="00FB262D">
            <w:pPr>
              <w:jc w:val="center"/>
              <w:textAlignment w:val="auto"/>
              <w:rPr>
                <w:rFonts w:ascii="Arial" w:hAnsi="Arial" w:cs="Arial"/>
                <w:sz w:val="14"/>
                <w:szCs w:val="14"/>
                <w:lang w:eastAsia="hr-HR"/>
              </w:rPr>
            </w:pPr>
          </w:p>
        </w:tc>
        <w:tc>
          <w:tcPr>
            <w:tcW w:w="1134" w:type="dxa"/>
            <w:tcBorders>
              <w:top w:val="single" w:sz="2" w:space="0" w:color="000000"/>
              <w:left w:val="single" w:sz="4" w:space="0" w:color="auto"/>
              <w:bottom w:val="single" w:sz="2" w:space="0" w:color="000000"/>
              <w:right w:val="single" w:sz="2" w:space="0" w:color="000000"/>
            </w:tcBorders>
            <w:vAlign w:val="center"/>
            <w:hideMark/>
          </w:tcPr>
          <w:p w14:paraId="115DE2EF" w14:textId="77777777" w:rsidR="00FB262D" w:rsidRPr="00FB262D" w:rsidRDefault="00000000" w:rsidP="00FB262D">
            <w:pPr>
              <w:ind w:left="36"/>
              <w:jc w:val="center"/>
              <w:textAlignment w:val="auto"/>
              <w:rPr>
                <w:rFonts w:ascii="Arial" w:hAnsi="Arial" w:cs="Arial"/>
                <w:sz w:val="14"/>
                <w:szCs w:val="14"/>
                <w:lang w:eastAsia="hr-HR"/>
              </w:rPr>
            </w:pPr>
            <w:r w:rsidRPr="00FB262D">
              <w:rPr>
                <w:rFonts w:ascii="Arial" w:hAnsi="Arial" w:cs="Arial"/>
                <w:sz w:val="14"/>
                <w:szCs w:val="14"/>
                <w:lang w:eastAsia="hr-HR"/>
              </w:rPr>
              <w:t>PODHUM</w:t>
            </w:r>
          </w:p>
        </w:tc>
        <w:tc>
          <w:tcPr>
            <w:tcW w:w="1265" w:type="dxa"/>
            <w:tcBorders>
              <w:top w:val="single" w:sz="2" w:space="0" w:color="000000"/>
              <w:left w:val="single" w:sz="2" w:space="0" w:color="000000"/>
              <w:bottom w:val="single" w:sz="2" w:space="0" w:color="000000"/>
              <w:right w:val="single" w:sz="2" w:space="0" w:color="000000"/>
            </w:tcBorders>
            <w:vAlign w:val="center"/>
            <w:hideMark/>
          </w:tcPr>
          <w:p w14:paraId="59D7A87D" w14:textId="77777777" w:rsidR="00FB262D" w:rsidRPr="00FB262D" w:rsidRDefault="00000000" w:rsidP="00FB262D">
            <w:pPr>
              <w:ind w:left="20"/>
              <w:jc w:val="center"/>
              <w:textAlignment w:val="auto"/>
              <w:rPr>
                <w:rFonts w:ascii="Arial" w:hAnsi="Arial" w:cs="Arial"/>
                <w:b/>
                <w:bCs/>
                <w:sz w:val="14"/>
                <w:szCs w:val="14"/>
                <w:lang w:eastAsia="hr-HR"/>
              </w:rPr>
            </w:pPr>
            <w:r w:rsidRPr="00FB262D">
              <w:rPr>
                <w:rFonts w:ascii="Arial" w:hAnsi="Arial" w:cs="Arial"/>
                <w:b/>
                <w:bCs/>
                <w:sz w:val="14"/>
                <w:szCs w:val="14"/>
                <w:lang w:eastAsia="hr-HR"/>
              </w:rPr>
              <w:t>6568</w:t>
            </w:r>
          </w:p>
        </w:tc>
        <w:tc>
          <w:tcPr>
            <w:tcW w:w="1287" w:type="dxa"/>
            <w:tcBorders>
              <w:top w:val="single" w:sz="2" w:space="0" w:color="000000"/>
              <w:left w:val="single" w:sz="2" w:space="0" w:color="000000"/>
              <w:bottom w:val="single" w:sz="2" w:space="0" w:color="000000"/>
              <w:right w:val="single" w:sz="2" w:space="0" w:color="000000"/>
            </w:tcBorders>
            <w:vAlign w:val="center"/>
            <w:hideMark/>
          </w:tcPr>
          <w:p w14:paraId="4167B00E" w14:textId="77777777" w:rsidR="00FB262D" w:rsidRPr="00FB262D" w:rsidRDefault="00000000" w:rsidP="00FB262D">
            <w:pPr>
              <w:ind w:left="30"/>
              <w:jc w:val="center"/>
              <w:textAlignment w:val="auto"/>
              <w:rPr>
                <w:rFonts w:ascii="Arial" w:hAnsi="Arial" w:cs="Arial"/>
                <w:sz w:val="14"/>
                <w:szCs w:val="14"/>
                <w:lang w:eastAsia="hr-HR"/>
              </w:rPr>
            </w:pPr>
            <w:r w:rsidRPr="00FB262D">
              <w:rPr>
                <w:rFonts w:ascii="Arial" w:hAnsi="Arial" w:cs="Arial"/>
                <w:sz w:val="14"/>
                <w:szCs w:val="14"/>
                <w:lang w:eastAsia="hr-HR"/>
              </w:rPr>
              <w:t>PODHUM</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41D9F176" w14:textId="77777777" w:rsidR="00FB262D" w:rsidRPr="00FB262D" w:rsidRDefault="00000000" w:rsidP="00FB262D">
            <w:pPr>
              <w:jc w:val="center"/>
              <w:textAlignment w:val="auto"/>
              <w:rPr>
                <w:rFonts w:ascii="Arial" w:hAnsi="Arial" w:cs="Arial"/>
                <w:sz w:val="14"/>
                <w:szCs w:val="14"/>
                <w:lang w:eastAsia="hr-HR"/>
              </w:rPr>
            </w:pPr>
            <w:r w:rsidRPr="00FB262D">
              <w:rPr>
                <w:rFonts w:ascii="Arial" w:hAnsi="Arial" w:cs="Arial"/>
                <w:sz w:val="14"/>
                <w:szCs w:val="14"/>
                <w:lang w:eastAsia="hr-HR"/>
              </w:rPr>
              <w:t>1768/2</w:t>
            </w:r>
          </w:p>
        </w:tc>
      </w:tr>
    </w:tbl>
    <w:p w14:paraId="679FF0BE" w14:textId="77777777" w:rsidR="00FB262D" w:rsidRPr="00FB262D" w:rsidRDefault="00FB262D" w:rsidP="00FB262D">
      <w:pPr>
        <w:spacing w:after="0" w:line="240" w:lineRule="auto"/>
        <w:ind w:left="2568" w:right="2472"/>
        <w:jc w:val="center"/>
        <w:textAlignment w:val="auto"/>
        <w:rPr>
          <w:rFonts w:ascii="Arial" w:hAnsi="Arial" w:cs="Arial"/>
          <w:sz w:val="14"/>
          <w:szCs w:val="14"/>
        </w:rPr>
      </w:pPr>
    </w:p>
    <w:p w14:paraId="7DE39990" w14:textId="77777777" w:rsidR="00FB262D" w:rsidRPr="00FB262D" w:rsidRDefault="00FB262D" w:rsidP="00FB262D">
      <w:pPr>
        <w:spacing w:after="120"/>
        <w:ind w:left="2568" w:right="2472"/>
        <w:jc w:val="center"/>
        <w:textAlignment w:val="auto"/>
        <w:rPr>
          <w:rFonts w:ascii="Arial" w:hAnsi="Arial" w:cs="Arial"/>
          <w:b/>
          <w:bCs/>
        </w:rPr>
      </w:pPr>
    </w:p>
    <w:p w14:paraId="1F8722C6" w14:textId="77777777" w:rsidR="00FB262D" w:rsidRPr="00FB262D" w:rsidRDefault="00000000" w:rsidP="00FB262D">
      <w:pPr>
        <w:spacing w:after="120"/>
        <w:ind w:left="2568" w:right="2472"/>
        <w:jc w:val="center"/>
        <w:textAlignment w:val="auto"/>
        <w:rPr>
          <w:rFonts w:ascii="Arial" w:hAnsi="Arial" w:cs="Arial"/>
          <w:b/>
          <w:bCs/>
        </w:rPr>
      </w:pPr>
      <w:r w:rsidRPr="00FB262D">
        <w:rPr>
          <w:rFonts w:ascii="Arial" w:hAnsi="Arial" w:cs="Arial"/>
          <w:b/>
          <w:bCs/>
        </w:rPr>
        <w:t>Članak 2.</w:t>
      </w:r>
    </w:p>
    <w:p w14:paraId="1E4DCA57" w14:textId="77777777" w:rsidR="00FB262D" w:rsidRPr="00FB262D" w:rsidRDefault="00000000" w:rsidP="00FB262D">
      <w:pPr>
        <w:spacing w:after="120"/>
        <w:ind w:left="57" w:right="52"/>
        <w:jc w:val="both"/>
        <w:textAlignment w:val="auto"/>
        <w:rPr>
          <w:rFonts w:ascii="Arial" w:hAnsi="Arial" w:cs="Arial"/>
        </w:rPr>
      </w:pPr>
      <w:r w:rsidRPr="00FB262D">
        <w:rPr>
          <w:rFonts w:ascii="Arial" w:hAnsi="Arial" w:cs="Arial"/>
        </w:rPr>
        <w:t>Obuhvat komunalne infrastrukture utvrđen je Prijedlogom obuhvata komunalne infrastrukture za Autobusnu stanicu Podhum na području Općine Jelenje iz studenog 2025. godine izrađenim od Nekretnine d.o.o. koji je sastavni dio ove Odluke.</w:t>
      </w:r>
    </w:p>
    <w:p w14:paraId="29583F3A" w14:textId="77777777" w:rsidR="00FB262D" w:rsidRPr="00FB262D" w:rsidRDefault="00000000" w:rsidP="00FB262D">
      <w:pPr>
        <w:spacing w:after="120"/>
        <w:ind w:left="2568" w:right="2544"/>
        <w:jc w:val="center"/>
        <w:textAlignment w:val="auto"/>
        <w:rPr>
          <w:rFonts w:ascii="Arial" w:hAnsi="Arial" w:cs="Arial"/>
          <w:b/>
          <w:bCs/>
        </w:rPr>
      </w:pPr>
      <w:r w:rsidRPr="00FB262D">
        <w:rPr>
          <w:rFonts w:ascii="Arial" w:hAnsi="Arial" w:cs="Arial"/>
          <w:b/>
          <w:bCs/>
        </w:rPr>
        <w:t>Članak 3.</w:t>
      </w:r>
    </w:p>
    <w:p w14:paraId="397E62D2" w14:textId="77777777" w:rsidR="00FB262D" w:rsidRPr="00FB262D" w:rsidRDefault="00000000" w:rsidP="00FB262D">
      <w:pPr>
        <w:spacing w:after="120"/>
        <w:ind w:left="57" w:right="52"/>
        <w:jc w:val="both"/>
        <w:textAlignment w:val="auto"/>
        <w:rPr>
          <w:rFonts w:ascii="Arial" w:hAnsi="Arial" w:cs="Arial"/>
        </w:rPr>
      </w:pPr>
      <w:r w:rsidRPr="00FB262D">
        <w:rPr>
          <w:rFonts w:ascii="Arial" w:hAnsi="Arial" w:cs="Arial"/>
        </w:rPr>
        <w:t>Nalaže se Zemljišno-knjižnom odjelu Općinskog suda u Rijeci, upis komunalne infrastrukture iz točke 1. ove Odluke kao: ”Javno dobro u općoj uporabi – Autobusna stanica Podhum” u vlasništvu Općine Jelenje, Dražice, Dražičkih boraca 64., OIB:</w:t>
      </w:r>
      <w:r w:rsidRPr="00FB262D">
        <w:rPr>
          <w:rFonts w:ascii="Arial" w:hAnsi="Arial" w:cs="Arial"/>
          <w:bCs/>
          <w:color w:val="2F5496"/>
          <w:kern w:val="2"/>
          <w:sz w:val="32"/>
          <w:szCs w:val="32"/>
          <w14:ligatures w14:val="standardContextual"/>
        </w:rPr>
        <w:t xml:space="preserve"> </w:t>
      </w:r>
      <w:r w:rsidRPr="00FB262D">
        <w:rPr>
          <w:rFonts w:ascii="Arial" w:hAnsi="Arial" w:cs="Arial"/>
          <w:b/>
          <w:bCs/>
        </w:rPr>
        <w:t>37666833094</w:t>
      </w:r>
      <w:r w:rsidRPr="00FB262D">
        <w:rPr>
          <w:rFonts w:ascii="Arial" w:hAnsi="Arial" w:cs="Arial"/>
        </w:rPr>
        <w:t>.</w:t>
      </w:r>
    </w:p>
    <w:p w14:paraId="40A1E875" w14:textId="77777777" w:rsidR="00FB262D" w:rsidRPr="00FB262D" w:rsidRDefault="00FB262D" w:rsidP="002464E3">
      <w:pPr>
        <w:spacing w:after="120"/>
        <w:ind w:right="2563"/>
        <w:jc w:val="both"/>
        <w:textAlignment w:val="auto"/>
        <w:rPr>
          <w:rFonts w:ascii="Arial" w:hAnsi="Arial" w:cs="Arial"/>
        </w:rPr>
      </w:pPr>
    </w:p>
    <w:p w14:paraId="1E5FA600" w14:textId="77777777" w:rsidR="00FB262D" w:rsidRPr="00FB262D" w:rsidRDefault="00000000" w:rsidP="00FB262D">
      <w:pPr>
        <w:spacing w:after="120"/>
        <w:ind w:left="2568" w:right="2563"/>
        <w:jc w:val="center"/>
        <w:textAlignment w:val="auto"/>
        <w:rPr>
          <w:rFonts w:ascii="Arial" w:hAnsi="Arial" w:cs="Arial"/>
          <w:b/>
          <w:bCs/>
        </w:rPr>
      </w:pPr>
      <w:r w:rsidRPr="00FB262D">
        <w:rPr>
          <w:rFonts w:ascii="Arial" w:hAnsi="Arial" w:cs="Arial"/>
          <w:b/>
          <w:bCs/>
        </w:rPr>
        <w:t>Članak 4.</w:t>
      </w:r>
    </w:p>
    <w:p w14:paraId="56700B24" w14:textId="77777777" w:rsidR="00FB262D" w:rsidRPr="00FB262D" w:rsidRDefault="00000000" w:rsidP="00FB262D">
      <w:pPr>
        <w:spacing w:after="120"/>
        <w:ind w:left="32" w:right="75"/>
        <w:jc w:val="both"/>
        <w:textAlignment w:val="auto"/>
        <w:rPr>
          <w:rFonts w:ascii="Arial" w:hAnsi="Arial" w:cs="Arial"/>
        </w:rPr>
      </w:pPr>
      <w:r w:rsidRPr="00FB262D">
        <w:rPr>
          <w:rFonts w:ascii="Arial" w:hAnsi="Arial" w:cs="Arial"/>
        </w:rPr>
        <w:t xml:space="preserve">Ova Odluka stupa na snagu osmoga dana od dana objave u „Službenim novinama Općine Jelenje”. </w:t>
      </w:r>
    </w:p>
    <w:p w14:paraId="75AA1FF9" w14:textId="77777777" w:rsidR="00FB262D" w:rsidRPr="00FB262D" w:rsidRDefault="00FB262D" w:rsidP="00FB262D">
      <w:pPr>
        <w:spacing w:after="0"/>
        <w:ind w:hanging="11"/>
        <w:textAlignment w:val="auto"/>
        <w:rPr>
          <w:rFonts w:ascii="Arial" w:hAnsi="Arial" w:cs="Arial"/>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763"/>
      </w:tblGrid>
      <w:tr w:rsidR="00692414" w14:paraId="794DB3F9" w14:textId="77777777" w:rsidTr="00784CBB">
        <w:tc>
          <w:tcPr>
            <w:tcW w:w="1023" w:type="dxa"/>
            <w:hideMark/>
          </w:tcPr>
          <w:p w14:paraId="3A022B28" w14:textId="77777777" w:rsidR="00AC4749" w:rsidRPr="004807FC" w:rsidRDefault="00000000" w:rsidP="00784CBB">
            <w:pPr>
              <w:jc w:val="both"/>
              <w:rPr>
                <w:rFonts w:ascii="Arial" w:eastAsia="Times New Roman" w:hAnsi="Arial" w:cs="Arial"/>
                <w:bCs/>
                <w:lang w:eastAsia="hr-HR"/>
              </w:rPr>
            </w:pPr>
            <w:r w:rsidRPr="004807FC">
              <w:rPr>
                <w:rFonts w:ascii="Arial" w:eastAsia="Times New Roman" w:hAnsi="Arial" w:cs="Arial"/>
                <w:bCs/>
                <w:lang w:eastAsia="hr-HR"/>
              </w:rPr>
              <w:t>KLASA:</w:t>
            </w:r>
          </w:p>
        </w:tc>
        <w:tc>
          <w:tcPr>
            <w:tcW w:w="3763" w:type="dxa"/>
            <w:hideMark/>
          </w:tcPr>
          <w:p w14:paraId="003E83AA" w14:textId="77777777" w:rsidR="00AC4749" w:rsidRPr="004807FC" w:rsidRDefault="00000000" w:rsidP="00784CBB">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Klasa"/>
                  <w:enabled/>
                  <w:calcOnExit w:val="0"/>
                  <w:textInput/>
                </w:ffData>
              </w:fldChar>
            </w:r>
            <w:bookmarkStart w:id="0" w:name="Klasa"/>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024-01/25-01/12</w:t>
            </w:r>
            <w:r w:rsidRPr="004807FC">
              <w:rPr>
                <w:rFonts w:ascii="Arial" w:hAnsi="Arial" w:cs="Arial"/>
              </w:rPr>
              <w:fldChar w:fldCharType="end"/>
            </w:r>
            <w:bookmarkEnd w:id="0"/>
          </w:p>
        </w:tc>
      </w:tr>
      <w:tr w:rsidR="00692414" w14:paraId="39EFBBD0" w14:textId="77777777" w:rsidTr="00784CBB">
        <w:tc>
          <w:tcPr>
            <w:tcW w:w="1023" w:type="dxa"/>
            <w:hideMark/>
          </w:tcPr>
          <w:p w14:paraId="34FE3F89" w14:textId="77777777" w:rsidR="00AC4749" w:rsidRPr="004807FC" w:rsidRDefault="00000000" w:rsidP="00784CBB">
            <w:pPr>
              <w:jc w:val="both"/>
              <w:rPr>
                <w:rFonts w:ascii="Arial" w:eastAsia="Times New Roman" w:hAnsi="Arial" w:cs="Arial"/>
                <w:bCs/>
                <w:lang w:eastAsia="hr-HR"/>
              </w:rPr>
            </w:pPr>
            <w:r w:rsidRPr="004807FC">
              <w:rPr>
                <w:rFonts w:ascii="Arial" w:eastAsia="Times New Roman" w:hAnsi="Arial" w:cs="Arial"/>
                <w:bCs/>
                <w:lang w:eastAsia="hr-HR"/>
              </w:rPr>
              <w:t>URBROJ:</w:t>
            </w:r>
          </w:p>
        </w:tc>
        <w:tc>
          <w:tcPr>
            <w:tcW w:w="3763" w:type="dxa"/>
            <w:hideMark/>
          </w:tcPr>
          <w:p w14:paraId="18D8382C" w14:textId="77777777" w:rsidR="00AC4749" w:rsidRPr="004807FC" w:rsidRDefault="00000000" w:rsidP="00784CBB">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Urbroj"/>
                  <w:enabled/>
                  <w:calcOnExit w:val="0"/>
                  <w:textInput/>
                </w:ffData>
              </w:fldChar>
            </w:r>
            <w:bookmarkStart w:id="1" w:name="Urbroj"/>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2170-20-03-01/03-25-37</w:t>
            </w:r>
            <w:r w:rsidRPr="004807FC">
              <w:rPr>
                <w:rFonts w:ascii="Arial" w:hAnsi="Arial" w:cs="Arial"/>
              </w:rPr>
              <w:fldChar w:fldCharType="end"/>
            </w:r>
            <w:bookmarkEnd w:id="1"/>
          </w:p>
        </w:tc>
      </w:tr>
      <w:tr w:rsidR="00692414" w14:paraId="21B36ECE" w14:textId="77777777" w:rsidTr="00784CBB">
        <w:tc>
          <w:tcPr>
            <w:tcW w:w="1023" w:type="dxa"/>
            <w:hideMark/>
          </w:tcPr>
          <w:p w14:paraId="3D04ED82" w14:textId="77777777" w:rsidR="00AC4749" w:rsidRPr="004807FC" w:rsidRDefault="00000000" w:rsidP="00784CBB">
            <w:pPr>
              <w:jc w:val="both"/>
              <w:rPr>
                <w:rFonts w:ascii="Arial" w:eastAsia="Times New Roman" w:hAnsi="Arial" w:cs="Arial"/>
                <w:bCs/>
                <w:lang w:eastAsia="hr-HR"/>
              </w:rPr>
            </w:pPr>
            <w:r w:rsidRPr="004807FC">
              <w:rPr>
                <w:rFonts w:ascii="Arial" w:eastAsia="Times New Roman" w:hAnsi="Arial" w:cs="Arial"/>
                <w:bCs/>
                <w:lang w:eastAsia="hr-HR"/>
              </w:rPr>
              <w:t>Dražice,</w:t>
            </w:r>
          </w:p>
        </w:tc>
        <w:tc>
          <w:tcPr>
            <w:tcW w:w="3763" w:type="dxa"/>
            <w:hideMark/>
          </w:tcPr>
          <w:p w14:paraId="011870FE" w14:textId="3A3CE32B" w:rsidR="00AC4749" w:rsidRPr="004807FC" w:rsidRDefault="00000000" w:rsidP="00784CBB">
            <w:pPr>
              <w:jc w:val="both"/>
              <w:rPr>
                <w:rFonts w:ascii="Arial" w:eastAsia="Times New Roman" w:hAnsi="Arial" w:cs="Arial"/>
                <w:b/>
                <w:bCs/>
                <w:lang w:eastAsia="hr-HR"/>
              </w:rPr>
            </w:pPr>
            <w:r>
              <w:rPr>
                <w:rFonts w:ascii="Arial" w:eastAsia="Times New Roman" w:hAnsi="Arial" w:cs="Arial"/>
                <w:b/>
                <w:bCs/>
                <w:lang w:eastAsia="hr-HR"/>
              </w:rPr>
              <w:t>22. prosinca 2025.</w:t>
            </w:r>
          </w:p>
        </w:tc>
      </w:tr>
    </w:tbl>
    <w:p w14:paraId="62954570" w14:textId="77777777" w:rsidR="00FB262D" w:rsidRPr="00FB262D" w:rsidRDefault="00FB262D" w:rsidP="00FB262D">
      <w:pPr>
        <w:spacing w:after="0"/>
        <w:ind w:left="-5" w:hanging="11"/>
        <w:textAlignment w:val="auto"/>
        <w:rPr>
          <w:rFonts w:ascii="Arial" w:hAnsi="Arial" w:cs="Arial"/>
        </w:rPr>
      </w:pPr>
    </w:p>
    <w:p w14:paraId="1395C97C" w14:textId="77777777" w:rsidR="00FB262D" w:rsidRPr="00FB262D" w:rsidRDefault="00000000" w:rsidP="00FB262D">
      <w:pPr>
        <w:spacing w:after="0"/>
        <w:ind w:left="5041"/>
        <w:contextualSpacing/>
        <w:jc w:val="center"/>
        <w:textAlignment w:val="auto"/>
        <w:rPr>
          <w:rFonts w:ascii="Arial" w:hAnsi="Arial" w:cs="Arial"/>
        </w:rPr>
      </w:pPr>
      <w:r w:rsidRPr="00FB262D">
        <w:rPr>
          <w:rFonts w:ascii="Arial" w:hAnsi="Arial" w:cs="Arial"/>
        </w:rPr>
        <w:t>PREDSJEDNICA OPĆINSKOG VIJEĆA OPĆINE JELENJE</w:t>
      </w:r>
    </w:p>
    <w:p w14:paraId="3EF800CC" w14:textId="7647ED57" w:rsidR="00496E95" w:rsidRDefault="00000000" w:rsidP="00AC4749">
      <w:pPr>
        <w:spacing w:after="0"/>
        <w:ind w:left="5760" w:firstLine="720"/>
        <w:contextualSpacing/>
        <w:textAlignment w:val="auto"/>
        <w:rPr>
          <w:rFonts w:ascii="Arial" w:eastAsia="Times New Roman" w:hAnsi="Arial" w:cs="Arial"/>
          <w:lang w:eastAsia="hr-HR"/>
        </w:rPr>
      </w:pPr>
      <w:r w:rsidRPr="00FB262D">
        <w:rPr>
          <w:rFonts w:ascii="Arial" w:hAnsi="Arial" w:cs="Arial"/>
        </w:rPr>
        <w:t>Izabela Nemaz</w:t>
      </w:r>
    </w:p>
    <w:sectPr w:rsidR="00496E95" w:rsidSect="00FA1E66">
      <w:pgSz w:w="11906" w:h="16838"/>
      <w:pgMar w:top="1134"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C72E3"/>
    <w:multiLevelType w:val="hybridMultilevel"/>
    <w:tmpl w:val="AFB412E6"/>
    <w:lvl w:ilvl="0" w:tplc="624EBE9E">
      <w:numFmt w:val="bullet"/>
      <w:lvlText w:val="-"/>
      <w:lvlJc w:val="left"/>
      <w:pPr>
        <w:ind w:left="720" w:hanging="360"/>
      </w:pPr>
      <w:rPr>
        <w:rFonts w:ascii="Times New Roman" w:eastAsia="Times New Roman" w:hAnsi="Times New Roman" w:cs="Times New Roman" w:hint="default"/>
      </w:rPr>
    </w:lvl>
    <w:lvl w:ilvl="1" w:tplc="3EB038CA" w:tentative="1">
      <w:start w:val="1"/>
      <w:numFmt w:val="bullet"/>
      <w:lvlText w:val="o"/>
      <w:lvlJc w:val="left"/>
      <w:pPr>
        <w:ind w:left="1440" w:hanging="360"/>
      </w:pPr>
      <w:rPr>
        <w:rFonts w:ascii="Courier New" w:hAnsi="Courier New" w:cs="Courier New" w:hint="default"/>
      </w:rPr>
    </w:lvl>
    <w:lvl w:ilvl="2" w:tplc="0A3270AE" w:tentative="1">
      <w:start w:val="1"/>
      <w:numFmt w:val="bullet"/>
      <w:lvlText w:val=""/>
      <w:lvlJc w:val="left"/>
      <w:pPr>
        <w:ind w:left="2160" w:hanging="360"/>
      </w:pPr>
      <w:rPr>
        <w:rFonts w:ascii="Wingdings" w:hAnsi="Wingdings" w:hint="default"/>
      </w:rPr>
    </w:lvl>
    <w:lvl w:ilvl="3" w:tplc="292498DC" w:tentative="1">
      <w:start w:val="1"/>
      <w:numFmt w:val="bullet"/>
      <w:lvlText w:val=""/>
      <w:lvlJc w:val="left"/>
      <w:pPr>
        <w:ind w:left="2880" w:hanging="360"/>
      </w:pPr>
      <w:rPr>
        <w:rFonts w:ascii="Symbol" w:hAnsi="Symbol" w:hint="default"/>
      </w:rPr>
    </w:lvl>
    <w:lvl w:ilvl="4" w:tplc="B3D47A6E" w:tentative="1">
      <w:start w:val="1"/>
      <w:numFmt w:val="bullet"/>
      <w:lvlText w:val="o"/>
      <w:lvlJc w:val="left"/>
      <w:pPr>
        <w:ind w:left="3600" w:hanging="360"/>
      </w:pPr>
      <w:rPr>
        <w:rFonts w:ascii="Courier New" w:hAnsi="Courier New" w:cs="Courier New" w:hint="default"/>
      </w:rPr>
    </w:lvl>
    <w:lvl w:ilvl="5" w:tplc="4E66FA90" w:tentative="1">
      <w:start w:val="1"/>
      <w:numFmt w:val="bullet"/>
      <w:lvlText w:val=""/>
      <w:lvlJc w:val="left"/>
      <w:pPr>
        <w:ind w:left="4320" w:hanging="360"/>
      </w:pPr>
      <w:rPr>
        <w:rFonts w:ascii="Wingdings" w:hAnsi="Wingdings" w:hint="default"/>
      </w:rPr>
    </w:lvl>
    <w:lvl w:ilvl="6" w:tplc="3028E5BC" w:tentative="1">
      <w:start w:val="1"/>
      <w:numFmt w:val="bullet"/>
      <w:lvlText w:val=""/>
      <w:lvlJc w:val="left"/>
      <w:pPr>
        <w:ind w:left="5040" w:hanging="360"/>
      </w:pPr>
      <w:rPr>
        <w:rFonts w:ascii="Symbol" w:hAnsi="Symbol" w:hint="default"/>
      </w:rPr>
    </w:lvl>
    <w:lvl w:ilvl="7" w:tplc="0E3C6718" w:tentative="1">
      <w:start w:val="1"/>
      <w:numFmt w:val="bullet"/>
      <w:lvlText w:val="o"/>
      <w:lvlJc w:val="left"/>
      <w:pPr>
        <w:ind w:left="5760" w:hanging="360"/>
      </w:pPr>
      <w:rPr>
        <w:rFonts w:ascii="Courier New" w:hAnsi="Courier New" w:cs="Courier New" w:hint="default"/>
      </w:rPr>
    </w:lvl>
    <w:lvl w:ilvl="8" w:tplc="870C4D38" w:tentative="1">
      <w:start w:val="1"/>
      <w:numFmt w:val="bullet"/>
      <w:lvlText w:val=""/>
      <w:lvlJc w:val="left"/>
      <w:pPr>
        <w:ind w:left="6480" w:hanging="360"/>
      </w:pPr>
      <w:rPr>
        <w:rFonts w:ascii="Wingdings" w:hAnsi="Wingdings" w:hint="default"/>
      </w:rPr>
    </w:lvl>
  </w:abstractNum>
  <w:abstractNum w:abstractNumId="1" w15:restartNumberingAfterBreak="0">
    <w:nsid w:val="40C57468"/>
    <w:multiLevelType w:val="hybridMultilevel"/>
    <w:tmpl w:val="D2AEF6D0"/>
    <w:lvl w:ilvl="0" w:tplc="47C8554A">
      <w:numFmt w:val="bullet"/>
      <w:lvlText w:val="-"/>
      <w:lvlJc w:val="left"/>
      <w:pPr>
        <w:ind w:left="1380" w:hanging="360"/>
      </w:pPr>
      <w:rPr>
        <w:rFonts w:ascii="Times New Roman" w:eastAsia="Times New Roman" w:hAnsi="Times New Roman" w:cs="Times New Roman" w:hint="default"/>
      </w:rPr>
    </w:lvl>
    <w:lvl w:ilvl="1" w:tplc="5A608C6C" w:tentative="1">
      <w:start w:val="1"/>
      <w:numFmt w:val="bullet"/>
      <w:lvlText w:val="o"/>
      <w:lvlJc w:val="left"/>
      <w:pPr>
        <w:ind w:left="2100" w:hanging="360"/>
      </w:pPr>
      <w:rPr>
        <w:rFonts w:ascii="Courier New" w:hAnsi="Courier New" w:cs="Courier New" w:hint="default"/>
      </w:rPr>
    </w:lvl>
    <w:lvl w:ilvl="2" w:tplc="73FCEBA8" w:tentative="1">
      <w:start w:val="1"/>
      <w:numFmt w:val="bullet"/>
      <w:lvlText w:val=""/>
      <w:lvlJc w:val="left"/>
      <w:pPr>
        <w:ind w:left="2820" w:hanging="360"/>
      </w:pPr>
      <w:rPr>
        <w:rFonts w:ascii="Wingdings" w:hAnsi="Wingdings" w:hint="default"/>
      </w:rPr>
    </w:lvl>
    <w:lvl w:ilvl="3" w:tplc="2CF8B0FC" w:tentative="1">
      <w:start w:val="1"/>
      <w:numFmt w:val="bullet"/>
      <w:lvlText w:val=""/>
      <w:lvlJc w:val="left"/>
      <w:pPr>
        <w:ind w:left="3540" w:hanging="360"/>
      </w:pPr>
      <w:rPr>
        <w:rFonts w:ascii="Symbol" w:hAnsi="Symbol" w:hint="default"/>
      </w:rPr>
    </w:lvl>
    <w:lvl w:ilvl="4" w:tplc="2A7A0790" w:tentative="1">
      <w:start w:val="1"/>
      <w:numFmt w:val="bullet"/>
      <w:lvlText w:val="o"/>
      <w:lvlJc w:val="left"/>
      <w:pPr>
        <w:ind w:left="4260" w:hanging="360"/>
      </w:pPr>
      <w:rPr>
        <w:rFonts w:ascii="Courier New" w:hAnsi="Courier New" w:cs="Courier New" w:hint="default"/>
      </w:rPr>
    </w:lvl>
    <w:lvl w:ilvl="5" w:tplc="6E9A83C6" w:tentative="1">
      <w:start w:val="1"/>
      <w:numFmt w:val="bullet"/>
      <w:lvlText w:val=""/>
      <w:lvlJc w:val="left"/>
      <w:pPr>
        <w:ind w:left="4980" w:hanging="360"/>
      </w:pPr>
      <w:rPr>
        <w:rFonts w:ascii="Wingdings" w:hAnsi="Wingdings" w:hint="default"/>
      </w:rPr>
    </w:lvl>
    <w:lvl w:ilvl="6" w:tplc="BAA6F3D6" w:tentative="1">
      <w:start w:val="1"/>
      <w:numFmt w:val="bullet"/>
      <w:lvlText w:val=""/>
      <w:lvlJc w:val="left"/>
      <w:pPr>
        <w:ind w:left="5700" w:hanging="360"/>
      </w:pPr>
      <w:rPr>
        <w:rFonts w:ascii="Symbol" w:hAnsi="Symbol" w:hint="default"/>
      </w:rPr>
    </w:lvl>
    <w:lvl w:ilvl="7" w:tplc="FAB830A4" w:tentative="1">
      <w:start w:val="1"/>
      <w:numFmt w:val="bullet"/>
      <w:lvlText w:val="o"/>
      <w:lvlJc w:val="left"/>
      <w:pPr>
        <w:ind w:left="6420" w:hanging="360"/>
      </w:pPr>
      <w:rPr>
        <w:rFonts w:ascii="Courier New" w:hAnsi="Courier New" w:cs="Courier New" w:hint="default"/>
      </w:rPr>
    </w:lvl>
    <w:lvl w:ilvl="8" w:tplc="65F26A00" w:tentative="1">
      <w:start w:val="1"/>
      <w:numFmt w:val="bullet"/>
      <w:lvlText w:val=""/>
      <w:lvlJc w:val="left"/>
      <w:pPr>
        <w:ind w:left="7140" w:hanging="360"/>
      </w:pPr>
      <w:rPr>
        <w:rFonts w:ascii="Wingdings" w:hAnsi="Wingdings" w:hint="default"/>
      </w:rPr>
    </w:lvl>
  </w:abstractNum>
  <w:num w:numId="1" w16cid:durableId="1933782541">
    <w:abstractNumId w:val="0"/>
  </w:num>
  <w:num w:numId="2" w16cid:durableId="451704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0757A"/>
    <w:rsid w:val="00053E2C"/>
    <w:rsid w:val="00086C87"/>
    <w:rsid w:val="000A77E6"/>
    <w:rsid w:val="000D2A78"/>
    <w:rsid w:val="00145F1D"/>
    <w:rsid w:val="002464E3"/>
    <w:rsid w:val="002555C1"/>
    <w:rsid w:val="00266706"/>
    <w:rsid w:val="002A3DFF"/>
    <w:rsid w:val="003316D9"/>
    <w:rsid w:val="00341AF9"/>
    <w:rsid w:val="0038657E"/>
    <w:rsid w:val="003C3AC9"/>
    <w:rsid w:val="003F2E3A"/>
    <w:rsid w:val="00464030"/>
    <w:rsid w:val="004807FC"/>
    <w:rsid w:val="00496E95"/>
    <w:rsid w:val="004A683B"/>
    <w:rsid w:val="00532B20"/>
    <w:rsid w:val="00535989"/>
    <w:rsid w:val="005A324D"/>
    <w:rsid w:val="0066054B"/>
    <w:rsid w:val="00666163"/>
    <w:rsid w:val="006837E4"/>
    <w:rsid w:val="00692414"/>
    <w:rsid w:val="0074334F"/>
    <w:rsid w:val="00760CD3"/>
    <w:rsid w:val="00775486"/>
    <w:rsid w:val="00784CBB"/>
    <w:rsid w:val="008674C8"/>
    <w:rsid w:val="008765B7"/>
    <w:rsid w:val="008C7BB1"/>
    <w:rsid w:val="008D74A9"/>
    <w:rsid w:val="00926781"/>
    <w:rsid w:val="00952991"/>
    <w:rsid w:val="00AC4749"/>
    <w:rsid w:val="00AD49B3"/>
    <w:rsid w:val="00B24B62"/>
    <w:rsid w:val="00B349D1"/>
    <w:rsid w:val="00B634DA"/>
    <w:rsid w:val="00B87D2F"/>
    <w:rsid w:val="00BB2031"/>
    <w:rsid w:val="00BE3359"/>
    <w:rsid w:val="00BF5729"/>
    <w:rsid w:val="00C37878"/>
    <w:rsid w:val="00CE11BF"/>
    <w:rsid w:val="00CE2B4D"/>
    <w:rsid w:val="00D2181B"/>
    <w:rsid w:val="00D9622C"/>
    <w:rsid w:val="00DA78E3"/>
    <w:rsid w:val="00E2769D"/>
    <w:rsid w:val="00FA1E66"/>
    <w:rsid w:val="00FB26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8D13"/>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B262D"/>
    <w:pPr>
      <w:spacing w:after="0" w:line="240" w:lineRule="auto"/>
    </w:pPr>
    <w:rPr>
      <w:rFonts w:ascii="Calibri" w:eastAsia="Times New Roman" w:hAnsi="Calibri" w:cs="Times New Roman"/>
      <w:kern w:val="2"/>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Creative Media - Hilton Costabella</cp:lastModifiedBy>
  <cp:revision>3</cp:revision>
  <cp:lastPrinted>2022-12-12T07:50:00Z</cp:lastPrinted>
  <dcterms:created xsi:type="dcterms:W3CDTF">2025-12-18T08:17:00Z</dcterms:created>
  <dcterms:modified xsi:type="dcterms:W3CDTF">2025-12-22T12:12:00Z</dcterms:modified>
</cp:coreProperties>
</file>