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7BD9" w14:textId="7429AD9E" w:rsidR="00C354D2" w:rsidRPr="00C354D2" w:rsidRDefault="00293B4E" w:rsidP="00C354D2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C354D2" w:rsidRPr="00C354D2">
        <w:rPr>
          <w:rFonts w:ascii="Arial" w:hAnsi="Arial" w:cs="Arial"/>
          <w:b/>
          <w:sz w:val="28"/>
          <w:szCs w:val="28"/>
        </w:rPr>
        <w:t>.</w:t>
      </w:r>
    </w:p>
    <w:p w14:paraId="232BAC5A" w14:textId="77777777" w:rsidR="00C354D2" w:rsidRDefault="00C354D2" w:rsidP="00EC3630">
      <w:pPr>
        <w:suppressAutoHyphens w:val="0"/>
        <w:autoSpaceDN/>
        <w:spacing w:after="155" w:line="258" w:lineRule="auto"/>
        <w:ind w:left="16" w:right="1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212F93FD" w14:textId="056C34A1" w:rsidR="00EC3630" w:rsidRPr="00EC3630" w:rsidRDefault="00000000" w:rsidP="00EC3630">
      <w:pPr>
        <w:suppressAutoHyphens w:val="0"/>
        <w:autoSpaceDN/>
        <w:spacing w:after="155" w:line="258" w:lineRule="auto"/>
        <w:ind w:left="16" w:right="1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Na temelju članka 72. stavka 1. Zakona o komunalnom gospodarstvu („Narodne novine“ broj 68/18., 110/18., 32/20. i 145/24.) i članka 33. stavak 1. točka 13. Statuta Općine Jelenje („Službene novine Općine Jelenje“ broj 59/23. i 82/25.) Općinsko vijeće Općine Jelenje na 4. sjednici održanoj dana 19. studenog 2025. donosi</w:t>
      </w:r>
    </w:p>
    <w:p w14:paraId="394D02E3" w14:textId="77777777" w:rsidR="00EC3630" w:rsidRPr="00EC3630" w:rsidRDefault="00000000" w:rsidP="00EC3630">
      <w:pPr>
        <w:suppressAutoHyphens w:val="0"/>
        <w:autoSpaceDN/>
        <w:spacing w:after="278" w:line="264" w:lineRule="auto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Druge izmjene i dopune Programa održavanja komunalne infrastrukture na području Općine Jelenje za 2025.g.</w:t>
      </w:r>
    </w:p>
    <w:p w14:paraId="5A749E39" w14:textId="77777777" w:rsidR="00EC3630" w:rsidRPr="00EC3630" w:rsidRDefault="00000000" w:rsidP="00EC3630">
      <w:pPr>
        <w:suppressAutoHyphens w:val="0"/>
        <w:autoSpaceDN/>
        <w:spacing w:after="165" w:line="259" w:lineRule="auto"/>
        <w:ind w:left="31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46E6CFCA" w14:textId="77777777" w:rsidR="00EC3630" w:rsidRPr="00EC3630" w:rsidRDefault="00000000" w:rsidP="00EC3630">
      <w:pPr>
        <w:suppressAutoHyphens w:val="0"/>
        <w:autoSpaceDN/>
        <w:spacing w:after="125" w:line="258" w:lineRule="auto"/>
        <w:ind w:left="16" w:right="1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U Programu održavanja komunalne infrastrukture na području Općine Jelenje za 2025.g („Službene novine Općine Jelenje“ broj 76/24. i 82/25.; u daljnjem tekstu – Program) članak 2. mijenja se i sada glasi:</w:t>
      </w:r>
    </w:p>
    <w:p w14:paraId="1FBE657B" w14:textId="77777777" w:rsidR="00EC3630" w:rsidRPr="00EC3630" w:rsidRDefault="00000000" w:rsidP="00EC3630">
      <w:pPr>
        <w:suppressAutoHyphens w:val="0"/>
        <w:autoSpaceDN/>
        <w:spacing w:after="6" w:line="258" w:lineRule="auto"/>
        <w:ind w:left="16" w:right="1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„Financijska sredstva potrebna za ostvarivanje ovog Programa utvrđuju se u ukupnom iznosu od 494.800,00 eura, prema izvorima kako slijedi:</w:t>
      </w:r>
    </w:p>
    <w:tbl>
      <w:tblPr>
        <w:tblStyle w:val="TableGrid"/>
        <w:tblW w:w="9003" w:type="dxa"/>
        <w:tblInd w:w="36" w:type="dxa"/>
        <w:tblCellMar>
          <w:top w:w="57" w:type="dxa"/>
          <w:left w:w="127" w:type="dxa"/>
          <w:bottom w:w="57" w:type="dxa"/>
          <w:right w:w="103" w:type="dxa"/>
        </w:tblCellMar>
        <w:tblLook w:val="04A0" w:firstRow="1" w:lastRow="0" w:firstColumn="1" w:lastColumn="0" w:noHBand="0" w:noVBand="1"/>
      </w:tblPr>
      <w:tblGrid>
        <w:gridCol w:w="6534"/>
        <w:gridCol w:w="2469"/>
      </w:tblGrid>
      <w:tr w:rsidR="008F1847" w14:paraId="65B8E2D3" w14:textId="77777777" w:rsidTr="0023681D">
        <w:trPr>
          <w:trHeight w:val="20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47E524" w14:textId="77777777" w:rsidR="00EC3630" w:rsidRPr="00EC3630" w:rsidRDefault="00000000" w:rsidP="00EC3630">
            <w:pPr>
              <w:suppressAutoHyphens w:val="0"/>
              <w:autoSpaceDN/>
              <w:ind w:left="64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IZVORI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2E7E87" w14:textId="77777777" w:rsidR="00EC3630" w:rsidRPr="00EC3630" w:rsidRDefault="00000000" w:rsidP="00EC3630">
            <w:pPr>
              <w:suppressAutoHyphens w:val="0"/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IZNOS (EUR)</w:t>
            </w:r>
          </w:p>
        </w:tc>
      </w:tr>
      <w:tr w:rsidR="008F1847" w14:paraId="09EFB167" w14:textId="77777777" w:rsidTr="0023681D">
        <w:trPr>
          <w:trHeight w:val="20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29425" w14:textId="77777777" w:rsidR="00EC3630" w:rsidRPr="00EC3630" w:rsidRDefault="00000000" w:rsidP="00EC363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Prihod od komunalne naknade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9FA9A" w14:textId="77777777" w:rsidR="00EC3630" w:rsidRPr="00EC3630" w:rsidRDefault="00000000" w:rsidP="00EC3630">
            <w:pPr>
              <w:suppressAutoHyphens w:val="0"/>
              <w:autoSpaceDN/>
              <w:ind w:right="1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138.261,84</w:t>
            </w:r>
          </w:p>
        </w:tc>
      </w:tr>
      <w:tr w:rsidR="008F1847" w14:paraId="7A5859D9" w14:textId="77777777" w:rsidTr="0023681D">
        <w:trPr>
          <w:trHeight w:val="20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57806" w14:textId="77777777" w:rsidR="00EC3630" w:rsidRPr="00EC3630" w:rsidRDefault="00000000" w:rsidP="00EC363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Naknada za koncesiju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8A57D4" w14:textId="77777777" w:rsidR="00EC3630" w:rsidRPr="00EC3630" w:rsidRDefault="00000000" w:rsidP="00EC3630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sz w:val="14"/>
                <w:szCs w:val="14"/>
              </w:rPr>
              <w:t>500,00</w:t>
            </w:r>
          </w:p>
        </w:tc>
      </w:tr>
      <w:tr w:rsidR="008F1847" w14:paraId="7773EF1C" w14:textId="77777777" w:rsidTr="0023681D">
        <w:trPr>
          <w:trHeight w:val="20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BC129" w14:textId="77777777" w:rsidR="00EC3630" w:rsidRPr="00EC3630" w:rsidRDefault="00000000" w:rsidP="00EC363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Naknada za uporabu javnih, gradskih/općinskih površina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E07F3" w14:textId="77777777" w:rsidR="00EC3630" w:rsidRPr="00EC3630" w:rsidRDefault="00000000" w:rsidP="00EC3630">
            <w:pPr>
              <w:suppressAutoHyphens w:val="0"/>
              <w:autoSpaceDN/>
              <w:ind w:right="1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44.000,00</w:t>
            </w:r>
          </w:p>
        </w:tc>
      </w:tr>
      <w:tr w:rsidR="008F1847" w14:paraId="43465DA3" w14:textId="77777777" w:rsidTr="0023681D">
        <w:trPr>
          <w:trHeight w:val="20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8EC59" w14:textId="77777777" w:rsidR="00EC3630" w:rsidRPr="00EC3630" w:rsidRDefault="00000000" w:rsidP="00EC363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Prihodi od pruženih usluga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FF0D1" w14:textId="77777777" w:rsidR="00EC3630" w:rsidRPr="00EC3630" w:rsidRDefault="00000000" w:rsidP="00EC3630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26.000,00</w:t>
            </w:r>
          </w:p>
        </w:tc>
      </w:tr>
      <w:tr w:rsidR="008F1847" w14:paraId="433DFBA6" w14:textId="77777777" w:rsidTr="0023681D">
        <w:trPr>
          <w:trHeight w:val="20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31CA3" w14:textId="77777777" w:rsidR="00EC3630" w:rsidRPr="00EC3630" w:rsidRDefault="00000000" w:rsidP="00EC363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Tekuće pomoći HC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EA508" w14:textId="77777777" w:rsidR="00EC3630" w:rsidRPr="00EC3630" w:rsidRDefault="00000000" w:rsidP="00EC3630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36.000,00</w:t>
            </w:r>
          </w:p>
        </w:tc>
      </w:tr>
      <w:tr w:rsidR="008F1847" w14:paraId="50B4A2A7" w14:textId="77777777" w:rsidTr="0023681D">
        <w:trPr>
          <w:trHeight w:val="20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BDDAE" w14:textId="77777777" w:rsidR="00EC3630" w:rsidRPr="00EC3630" w:rsidRDefault="00000000" w:rsidP="00EC363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Opći prihodi i primici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435E6" w14:textId="77777777" w:rsidR="00EC3630" w:rsidRPr="00EC3630" w:rsidRDefault="00000000" w:rsidP="00EC3630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250.038,16</w:t>
            </w:r>
          </w:p>
        </w:tc>
      </w:tr>
      <w:tr w:rsidR="008F1847" w14:paraId="2D01FB93" w14:textId="77777777" w:rsidTr="0023681D">
        <w:trPr>
          <w:trHeight w:val="20"/>
        </w:trPr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D0C24D" w14:textId="77777777" w:rsidR="00EC3630" w:rsidRPr="00EC3630" w:rsidRDefault="00000000" w:rsidP="00EC3630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UKUPNO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14:paraId="2FBAD173" w14:textId="77777777" w:rsidR="00EC3630" w:rsidRPr="00EC3630" w:rsidRDefault="00000000" w:rsidP="00EC3630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494.800,00</w:t>
            </w:r>
          </w:p>
        </w:tc>
      </w:tr>
    </w:tbl>
    <w:p w14:paraId="401D053A" w14:textId="77777777" w:rsidR="00EC3630" w:rsidRPr="00EC3630" w:rsidRDefault="00000000" w:rsidP="00EC3630">
      <w:pPr>
        <w:suppressAutoHyphens w:val="0"/>
        <w:autoSpaceDN/>
        <w:spacing w:after="147" w:line="259" w:lineRule="auto"/>
        <w:ind w:left="21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„</w:t>
      </w:r>
    </w:p>
    <w:p w14:paraId="345E5F35" w14:textId="77777777" w:rsidR="00EC3630" w:rsidRPr="00EC3630" w:rsidRDefault="00000000" w:rsidP="00EC3630">
      <w:pPr>
        <w:suppressAutoHyphens w:val="0"/>
        <w:autoSpaceDN/>
        <w:spacing w:after="165" w:line="259" w:lineRule="auto"/>
        <w:ind w:left="31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237745A1" w14:textId="77777777" w:rsidR="00EC3630" w:rsidRPr="00EC3630" w:rsidRDefault="00000000" w:rsidP="00EC3630">
      <w:pPr>
        <w:suppressAutoHyphens w:val="0"/>
        <w:autoSpaceDN/>
        <w:spacing w:after="134" w:line="258" w:lineRule="auto"/>
        <w:ind w:left="16" w:right="1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Članak 3. Programa mijenja se i sada glasi:</w:t>
      </w:r>
    </w:p>
    <w:p w14:paraId="31B6EF01" w14:textId="77777777" w:rsidR="00EC3630" w:rsidRPr="00EC3630" w:rsidRDefault="00000000" w:rsidP="00EC3630">
      <w:pPr>
        <w:suppressAutoHyphens w:val="0"/>
        <w:autoSpaceDN/>
        <w:spacing w:after="6" w:line="258" w:lineRule="auto"/>
        <w:ind w:left="16" w:right="13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„Planirana sredstva za održavanje komunalne infrastrukture na području općine Jelenje za 2025. godinu raspodjeljuju se po djelatnostima:</w:t>
      </w:r>
    </w:p>
    <w:tbl>
      <w:tblPr>
        <w:tblStyle w:val="TableGrid"/>
        <w:tblW w:w="9073" w:type="dxa"/>
        <w:tblInd w:w="-109" w:type="dxa"/>
        <w:tblCellMar>
          <w:top w:w="21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2020"/>
        <w:gridCol w:w="848"/>
        <w:gridCol w:w="993"/>
        <w:gridCol w:w="1275"/>
        <w:gridCol w:w="1090"/>
        <w:gridCol w:w="470"/>
        <w:gridCol w:w="1416"/>
      </w:tblGrid>
      <w:tr w:rsidR="008F1847" w14:paraId="4E8F3AE0" w14:textId="77777777" w:rsidTr="0023681D">
        <w:trPr>
          <w:trHeight w:val="202"/>
        </w:trPr>
        <w:tc>
          <w:tcPr>
            <w:tcW w:w="3829" w:type="dxa"/>
            <w:gridSpan w:val="3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</w:tcPr>
          <w:p w14:paraId="51FBD812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2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DJELATNOST </w:t>
            </w:r>
          </w:p>
        </w:tc>
        <w:tc>
          <w:tcPr>
            <w:tcW w:w="99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</w:tcPr>
          <w:p w14:paraId="459D1B2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37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POZICIJA </w:t>
            </w:r>
          </w:p>
          <w:p w14:paraId="3727A799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27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PRORAČU</w:t>
            </w:r>
          </w:p>
          <w:p w14:paraId="075558C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37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NA </w:t>
            </w:r>
          </w:p>
        </w:tc>
        <w:tc>
          <w:tcPr>
            <w:tcW w:w="127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</w:tcPr>
          <w:p w14:paraId="703C5722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84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PRORAČUN </w:t>
            </w:r>
          </w:p>
          <w:p w14:paraId="55E7A91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44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2025.          </w:t>
            </w:r>
          </w:p>
          <w:p w14:paraId="334DB27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9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(u eurima) </w:t>
            </w:r>
          </w:p>
        </w:tc>
        <w:tc>
          <w:tcPr>
            <w:tcW w:w="297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</w:tcPr>
          <w:p w14:paraId="46C3548B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143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IZVORI FINANCIRANJA </w:t>
            </w:r>
          </w:p>
        </w:tc>
      </w:tr>
      <w:tr w:rsidR="008F1847" w14:paraId="5A32D9B1" w14:textId="77777777" w:rsidTr="0023681D">
        <w:trPr>
          <w:trHeight w:val="38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D2902B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F1B7F0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2A1E65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</w:tcPr>
          <w:p w14:paraId="59DCE8F9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-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  <w:p w14:paraId="0AE281F6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9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i/>
                <w:color w:val="000000"/>
                <w:sz w:val="14"/>
                <w:szCs w:val="14"/>
              </w:rPr>
              <w:t xml:space="preserve">IZVORI </w:t>
            </w:r>
          </w:p>
        </w:tc>
        <w:tc>
          <w:tcPr>
            <w:tcW w:w="188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</w:tcPr>
          <w:p w14:paraId="2EA06441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3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i/>
                <w:color w:val="000000"/>
                <w:sz w:val="14"/>
                <w:szCs w:val="14"/>
              </w:rPr>
              <w:t xml:space="preserve">VRIJEDNOSTI </w:t>
            </w:r>
          </w:p>
        </w:tc>
      </w:tr>
      <w:tr w:rsidR="008F1847" w14:paraId="180006DE" w14:textId="77777777" w:rsidTr="0023681D">
        <w:trPr>
          <w:trHeight w:val="244"/>
        </w:trPr>
        <w:tc>
          <w:tcPr>
            <w:tcW w:w="9073" w:type="dxa"/>
            <w:gridSpan w:val="8"/>
            <w:tcBorders>
              <w:top w:val="single" w:sz="4" w:space="0" w:color="181717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</w:tcPr>
          <w:p w14:paraId="6BD65176" w14:textId="77777777" w:rsidR="00EC3630" w:rsidRPr="00EC3630" w:rsidRDefault="00000000" w:rsidP="00EC3630">
            <w:pPr>
              <w:tabs>
                <w:tab w:val="center" w:pos="4695"/>
              </w:tabs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1. </w:t>
            </w: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ab/>
              <w:t xml:space="preserve">ODRŽAVANJE NERAZVRSTANIH CESTA </w:t>
            </w: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</w:t>
            </w: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238.000,00</w:t>
            </w: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8F1847" w14:paraId="39952E92" w14:textId="77777777" w:rsidTr="0023681D">
        <w:trPr>
          <w:trHeight w:val="786"/>
        </w:trPr>
        <w:tc>
          <w:tcPr>
            <w:tcW w:w="9073" w:type="dxa"/>
            <w:gridSpan w:val="8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541434CF" w14:textId="77777777" w:rsidR="00EC3630" w:rsidRPr="00EC3630" w:rsidRDefault="00000000" w:rsidP="00EC3630">
            <w:pPr>
              <w:suppressAutoHyphens w:val="0"/>
              <w:autoSpaceDN/>
              <w:spacing w:after="38"/>
              <w:ind w:left="135" w:right="19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>Održavanje nerazvrstanih cesta obuhvaća skup mjera i radnji koje se obavljaju tijekom cijele godine na nerazvrstanim cestama, uključujući i svu opremu, uređaje i instalacije, sa svrhom održavanja prohodnosti i tehničke ispravnosti cesta i prometne sigurnosti na njima (redovito održavanje) kao i mjestimičnog poboljšanja elemenata ceste, osiguravanja sigurnosti i trajnosti ceste i cestovnih objekata i povećanja sigurnosti prometa (izvanredno održavanje), a u skladu s propisima kojima je uređeno održavanje cesta. Dio sredstava razvrstava se na održavanje cesta u zimskim uvjetima (čišćenje snijega).</w:t>
            </w:r>
          </w:p>
          <w:p w14:paraId="263AD1F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2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 xml:space="preserve"> </w:t>
            </w:r>
          </w:p>
        </w:tc>
      </w:tr>
      <w:tr w:rsidR="008F1847" w14:paraId="02B3C35F" w14:textId="77777777" w:rsidTr="0023681D">
        <w:trPr>
          <w:trHeight w:val="572"/>
        </w:trPr>
        <w:tc>
          <w:tcPr>
            <w:tcW w:w="961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B2861F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4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1.1.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nil"/>
            </w:tcBorders>
          </w:tcPr>
          <w:p w14:paraId="47433325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11" w:hanging="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Usluge </w:t>
            </w: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ab/>
              <w:t xml:space="preserve">tekućeg nerazvrstanih cesta 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</w:tcPr>
          <w:p w14:paraId="780DFA4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jc w:val="both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održavanja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B47DFA5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3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F5B9309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98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190.000,00 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7248EC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36" w:right="1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Tekuće pomoći – Hrvatske ceste</w:t>
            </w:r>
          </w:p>
        </w:tc>
        <w:tc>
          <w:tcPr>
            <w:tcW w:w="1416" w:type="dxa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086E95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95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3.000,00</w:t>
            </w:r>
          </w:p>
        </w:tc>
      </w:tr>
      <w:tr w:rsidR="008F1847" w14:paraId="4393FE73" w14:textId="77777777" w:rsidTr="0023681D">
        <w:trPr>
          <w:trHeight w:val="244"/>
        </w:trPr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455ACFAE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nil"/>
            </w:tcBorders>
          </w:tcPr>
          <w:p w14:paraId="47DE1A95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C8C8C8"/>
            </w:tcBorders>
          </w:tcPr>
          <w:p w14:paraId="2EAEA4D7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7CF6965B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nil"/>
              <w:right w:val="single" w:sz="4" w:space="0" w:color="C8C8C8"/>
            </w:tcBorders>
          </w:tcPr>
          <w:p w14:paraId="1AF3217D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C5878C5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2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Opći prihodi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91E1EE4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95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178.500,00</w:t>
            </w:r>
          </w:p>
        </w:tc>
      </w:tr>
      <w:tr w:rsidR="008F1847" w14:paraId="26519C99" w14:textId="77777777" w:rsidTr="0023681D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F9551A7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nil"/>
            </w:tcBorders>
          </w:tcPr>
          <w:p w14:paraId="3E6A3F45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C8C8C8"/>
              <w:right w:val="single" w:sz="4" w:space="0" w:color="C8C8C8"/>
            </w:tcBorders>
          </w:tcPr>
          <w:p w14:paraId="0D0A1E79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83FCAB8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250C89E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02D0BB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36" w:hanging="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Komunalna naknada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2B278622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95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8.500,00</w:t>
            </w:r>
          </w:p>
        </w:tc>
      </w:tr>
      <w:tr w:rsidR="008F1847" w14:paraId="7527C4F1" w14:textId="77777777" w:rsidTr="0023681D">
        <w:trPr>
          <w:trHeight w:val="244"/>
        </w:trPr>
        <w:tc>
          <w:tcPr>
            <w:tcW w:w="96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23F14FA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4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1.2. </w:t>
            </w:r>
          </w:p>
        </w:tc>
        <w:tc>
          <w:tcPr>
            <w:tcW w:w="202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nil"/>
            </w:tcBorders>
            <w:vAlign w:val="center"/>
          </w:tcPr>
          <w:p w14:paraId="7B8AA59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01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Zimska služba</w:t>
            </w:r>
          </w:p>
        </w:tc>
        <w:tc>
          <w:tcPr>
            <w:tcW w:w="848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</w:tcPr>
          <w:p w14:paraId="10FF9AD4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8E36BFE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3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284</w:t>
            </w:r>
          </w:p>
        </w:tc>
        <w:tc>
          <w:tcPr>
            <w:tcW w:w="127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7B2B2D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98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33.000,00 </w:t>
            </w: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D84759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2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Tekuće pomoći – Hrvatske ceste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DA1041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95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33.000,00</w:t>
            </w:r>
          </w:p>
        </w:tc>
      </w:tr>
      <w:tr w:rsidR="008F1847" w14:paraId="553F74E6" w14:textId="77777777" w:rsidTr="0023681D">
        <w:trPr>
          <w:trHeight w:val="437"/>
        </w:trPr>
        <w:tc>
          <w:tcPr>
            <w:tcW w:w="96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1BB4DC9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4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1.3. </w:t>
            </w:r>
          </w:p>
        </w:tc>
        <w:tc>
          <w:tcPr>
            <w:tcW w:w="202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nil"/>
            </w:tcBorders>
          </w:tcPr>
          <w:p w14:paraId="59A3D1C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11" w:hanging="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Usluge </w:t>
            </w: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ab/>
              <w:t xml:space="preserve">održavanja signalizacije </w:t>
            </w:r>
          </w:p>
        </w:tc>
        <w:tc>
          <w:tcPr>
            <w:tcW w:w="848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</w:tcPr>
          <w:p w14:paraId="7CB40DF1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07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prometne </w:t>
            </w:r>
          </w:p>
        </w:tc>
        <w:tc>
          <w:tcPr>
            <w:tcW w:w="99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2287D56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3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127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5012BE3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45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A17153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36" w:hanging="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Komunalna naknada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296FB9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95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15.000,00</w:t>
            </w:r>
          </w:p>
        </w:tc>
      </w:tr>
    </w:tbl>
    <w:p w14:paraId="7E74849A" w14:textId="77777777" w:rsidR="00EC3630" w:rsidRPr="00EC3630" w:rsidRDefault="00000000" w:rsidP="00EC3630">
      <w:pPr>
        <w:suppressAutoHyphens w:val="0"/>
        <w:autoSpaceDN/>
        <w:spacing w:after="12" w:line="259" w:lineRule="auto"/>
        <w:ind w:left="560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 xml:space="preserve">  </w:t>
      </w:r>
      <w:r w:rsidRPr="00EC3630">
        <w:rPr>
          <w:rFonts w:ascii="Arial" w:eastAsia="Arial" w:hAnsi="Arial" w:cs="Arial"/>
          <w:i/>
          <w:color w:val="000000"/>
          <w:kern w:val="2"/>
          <w:sz w:val="20"/>
          <w:szCs w:val="24"/>
          <w:lang w:eastAsia="hr-HR"/>
          <w14:ligatures w14:val="standardContextual"/>
        </w:rPr>
        <w:t xml:space="preserve">  </w:t>
      </w:r>
      <w:r w:rsidRPr="00EC3630">
        <w:rPr>
          <w:rFonts w:ascii="Arial" w:eastAsia="Arial" w:hAnsi="Arial" w:cs="Arial"/>
          <w:i/>
          <w:color w:val="000000"/>
          <w:kern w:val="2"/>
          <w:sz w:val="20"/>
          <w:szCs w:val="24"/>
          <w:lang w:eastAsia="hr-HR"/>
          <w14:ligatures w14:val="standardContextual"/>
        </w:rPr>
        <w:tab/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 xml:space="preserve">  </w:t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ab/>
      </w:r>
      <w:r w:rsidRPr="00EC3630">
        <w:rPr>
          <w:rFonts w:ascii="Arial" w:eastAsia="Arial" w:hAnsi="Arial" w:cs="Arial"/>
          <w:i/>
          <w:color w:val="000000"/>
          <w:kern w:val="2"/>
          <w:sz w:val="20"/>
          <w:szCs w:val="24"/>
          <w:lang w:eastAsia="hr-HR"/>
          <w14:ligatures w14:val="standardContextual"/>
        </w:rPr>
        <w:t xml:space="preserve">  </w:t>
      </w:r>
    </w:p>
    <w:tbl>
      <w:tblPr>
        <w:tblStyle w:val="TableGrid"/>
        <w:tblW w:w="9002" w:type="dxa"/>
        <w:tblInd w:w="-41" w:type="dxa"/>
        <w:tblCellMar>
          <w:top w:w="69" w:type="dxa"/>
          <w:left w:w="101" w:type="dxa"/>
          <w:right w:w="21" w:type="dxa"/>
        </w:tblCellMar>
        <w:tblLook w:val="04A0" w:firstRow="1" w:lastRow="0" w:firstColumn="1" w:lastColumn="0" w:noHBand="0" w:noVBand="1"/>
      </w:tblPr>
      <w:tblGrid>
        <w:gridCol w:w="715"/>
        <w:gridCol w:w="2475"/>
        <w:gridCol w:w="1006"/>
        <w:gridCol w:w="1410"/>
        <w:gridCol w:w="2048"/>
        <w:gridCol w:w="1348"/>
      </w:tblGrid>
      <w:tr w:rsidR="008F1847" w14:paraId="1B21420F" w14:textId="77777777" w:rsidTr="00EC3630">
        <w:trPr>
          <w:trHeight w:val="300"/>
        </w:trPr>
        <w:tc>
          <w:tcPr>
            <w:tcW w:w="9002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6E3BC" w:themeFill="accent3" w:themeFillTint="66"/>
          </w:tcPr>
          <w:p w14:paraId="570FFB1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4" w:right="85" w:hanging="10"/>
              <w:jc w:val="both"/>
              <w:textAlignment w:val="auto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6"/>
              </w:rPr>
              <w:t>2. ODRŽAVANJE JAVNIH POVRŠINA NA KOJIMA NIJE DOPUŠTEN PROMET MOTORNIM VOZILIMA            79.500,00</w:t>
            </w:r>
          </w:p>
        </w:tc>
      </w:tr>
      <w:tr w:rsidR="008F1847" w14:paraId="3F94FAF4" w14:textId="77777777" w:rsidTr="00EC3630">
        <w:trPr>
          <w:trHeight w:val="1001"/>
        </w:trPr>
        <w:tc>
          <w:tcPr>
            <w:tcW w:w="9002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65EFE79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4" w:right="8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lastRenderedPageBreak/>
              <w:t xml:space="preserve">Održavanje javnih površina na kojima nije dopušten promet motornim vozilima obuhvaća održavanja i popravke javnih površina kojima se osigurava njihova funkcionalna ispravnost (npr. razne ograde, popravci podloga, sanacija pješačkih površina, izrada podloge za postavu urbane opreme i sl.). Javne površine na kojima nije dopušten promet motornim vozilima su trgovi, pločnici, javni prolazi, javne stube, prečaci, šetališta, biciklističke i pješačke staze i mostovi ako nisu sastavni dio nerazvrstane ili druge ceste. Održavanje javnih površina čine slijedeće djelatnosti, održavanje zelenila (košnja i uređenje niskog i visokog raslinja), rušenje stabala koja mogu biti prijetnja slučajnim prolaznicima i materijalnoj imovini i osiguravanje čistoće svih oborinskih kanala (kanali uz javne i nerazvrstane ceste) te popravak šahti i slivnika. </w:t>
            </w:r>
          </w:p>
        </w:tc>
      </w:tr>
      <w:tr w:rsidR="008F1847" w14:paraId="497801D4" w14:textId="77777777" w:rsidTr="00EC3630">
        <w:trPr>
          <w:trHeight w:val="438"/>
        </w:trPr>
        <w:tc>
          <w:tcPr>
            <w:tcW w:w="7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16C2DB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2.1. </w:t>
            </w:r>
          </w:p>
        </w:tc>
        <w:tc>
          <w:tcPr>
            <w:tcW w:w="247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E22C5D5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Održavanje javnih površina </w:t>
            </w:r>
          </w:p>
        </w:tc>
        <w:tc>
          <w:tcPr>
            <w:tcW w:w="100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70C5BF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309</w:t>
            </w:r>
          </w:p>
        </w:tc>
        <w:tc>
          <w:tcPr>
            <w:tcW w:w="141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031CA1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6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77.500,00</w:t>
            </w:r>
          </w:p>
        </w:tc>
        <w:tc>
          <w:tcPr>
            <w:tcW w:w="204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121706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5" w:hanging="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Komunalna naknada</w:t>
            </w:r>
          </w:p>
        </w:tc>
        <w:tc>
          <w:tcPr>
            <w:tcW w:w="134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AE2CA4E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77.500,00</w:t>
            </w:r>
          </w:p>
        </w:tc>
      </w:tr>
      <w:tr w:rsidR="008F1847" w14:paraId="6ADAA6DF" w14:textId="77777777" w:rsidTr="00EC3630">
        <w:trPr>
          <w:trHeight w:val="436"/>
        </w:trPr>
        <w:tc>
          <w:tcPr>
            <w:tcW w:w="7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BEB06A6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2.2. </w:t>
            </w:r>
          </w:p>
        </w:tc>
        <w:tc>
          <w:tcPr>
            <w:tcW w:w="247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26ABF9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0" w:hanging="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Održavanje protupožarnih puteva </w:t>
            </w:r>
          </w:p>
        </w:tc>
        <w:tc>
          <w:tcPr>
            <w:tcW w:w="100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4458B1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1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AF55C14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7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204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1DA2EA1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Komunalna naknada </w:t>
            </w:r>
          </w:p>
        </w:tc>
        <w:tc>
          <w:tcPr>
            <w:tcW w:w="134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A3B954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2.000,00</w:t>
            </w:r>
          </w:p>
        </w:tc>
      </w:tr>
    </w:tbl>
    <w:p w14:paraId="6140B04C" w14:textId="77777777" w:rsidR="00EC3630" w:rsidRPr="00EC3630" w:rsidRDefault="00000000" w:rsidP="00EC3630">
      <w:pPr>
        <w:suppressAutoHyphens w:val="0"/>
        <w:autoSpaceDN/>
        <w:spacing w:after="0" w:line="259" w:lineRule="auto"/>
        <w:ind w:left="560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 xml:space="preserve">    </w:t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ab/>
        <w:t xml:space="preserve">  </w:t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ab/>
        <w:t xml:space="preserve">   </w:t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ab/>
        <w:t xml:space="preserve">  </w:t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ab/>
        <w:t xml:space="preserve">  </w:t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ab/>
        <w:t xml:space="preserve">  </w:t>
      </w:r>
    </w:p>
    <w:tbl>
      <w:tblPr>
        <w:tblStyle w:val="TableGrid"/>
        <w:tblW w:w="9070" w:type="dxa"/>
        <w:tblInd w:w="-109" w:type="dxa"/>
        <w:tblCellMar>
          <w:top w:w="71" w:type="dxa"/>
          <w:left w:w="101" w:type="dxa"/>
          <w:right w:w="21" w:type="dxa"/>
        </w:tblCellMar>
        <w:tblLook w:val="04A0" w:firstRow="1" w:lastRow="0" w:firstColumn="1" w:lastColumn="0" w:noHBand="0" w:noVBand="1"/>
      </w:tblPr>
      <w:tblGrid>
        <w:gridCol w:w="785"/>
        <w:gridCol w:w="2477"/>
        <w:gridCol w:w="990"/>
        <w:gridCol w:w="1417"/>
        <w:gridCol w:w="1985"/>
        <w:gridCol w:w="1416"/>
      </w:tblGrid>
      <w:tr w:rsidR="008F1847" w14:paraId="7AB15B11" w14:textId="77777777" w:rsidTr="00EC3630">
        <w:trPr>
          <w:trHeight w:val="20"/>
        </w:trPr>
        <w:tc>
          <w:tcPr>
            <w:tcW w:w="9070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09B8340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55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3. ODRŽAVANJE JAVNIH ZELENIH POVRŠINA                                                                                          60.000,00</w:t>
            </w:r>
          </w:p>
        </w:tc>
      </w:tr>
      <w:tr w:rsidR="008F1847" w14:paraId="5CABF6B6" w14:textId="77777777" w:rsidTr="00EC3630">
        <w:trPr>
          <w:trHeight w:val="20"/>
        </w:trPr>
        <w:tc>
          <w:tcPr>
            <w:tcW w:w="9070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00FF898D" w14:textId="77777777" w:rsidR="00EC3630" w:rsidRPr="00EC3630" w:rsidRDefault="00000000" w:rsidP="00EC3630">
            <w:pPr>
              <w:suppressAutoHyphens w:val="0"/>
              <w:autoSpaceDN/>
              <w:ind w:left="34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 xml:space="preserve">Javne zelene površine su drvoredi, živice, cvjetnjaci, travnjaci, skupine ili pojedinačna stabla, dječja igrališta s pripadajućom opremom, javni športski i rekreacijski prostori, zelene površine uz ceste i ulice, ako nisu sastavni dio nerazvrstane ili druge ceste odnosno ulice i sl.  </w:t>
            </w:r>
          </w:p>
          <w:p w14:paraId="664C88C3" w14:textId="77777777" w:rsidR="00EC3630" w:rsidRPr="00EC3630" w:rsidRDefault="00000000" w:rsidP="00EC3630">
            <w:pPr>
              <w:suppressAutoHyphens w:val="0"/>
              <w:autoSpaceDN/>
              <w:ind w:left="34" w:right="8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 xml:space="preserve">Redovno održavanje javnih zelenih površina podrazumijeva košnju trave, orezivanje zelenila i sakupljanje biološkog otpada s javnih zelenih površina, obnovu, održavanje i njegu drveća, ukrasnog grmlja i drugog raslinja, staze, popločenih i nasipanih površina na dječjim igralištima, fitosanitarnu zaštitu bilja i biljnog materijala za potrebe održavanja i druge poslove potrebne za održavanje tih površina. Svi poslovi iz ovog stavka, provode se sukladno godišnjem Planu održavanja javnih zelenih površina. </w:t>
            </w:r>
          </w:p>
          <w:p w14:paraId="212796EE" w14:textId="77777777" w:rsidR="00EC3630" w:rsidRPr="00EC3630" w:rsidRDefault="00000000" w:rsidP="00EC3630">
            <w:pPr>
              <w:suppressAutoHyphens w:val="0"/>
              <w:autoSpaceDN/>
              <w:spacing w:after="2"/>
              <w:ind w:left="34" w:right="8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 xml:space="preserve">Izvanredno održavanje javnih zelenih  površina čine poslovi preventivne zaštite bilja i drvoreda od bolesti i nametnika te suzbijanje nepoželjne vegetacije, intervencije na održavanju zelenih površina odnosno nepredviđeni radovi i zahvati  na javnim zelenim površinama koji nisu predviđeni u godišnjem Planu održavanja javnih zelenih površina. </w:t>
            </w:r>
          </w:p>
          <w:p w14:paraId="06D5F19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4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 xml:space="preserve">Održavanje dječjih igrališta obuhvaća tekuće održavanje i preglede dječjih igrališta i javnih sportskih i rekreativnih prostora. </w:t>
            </w:r>
          </w:p>
          <w:p w14:paraId="58A2127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4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>Investicijsko održavanje dječjih igrališta obuhvaća veće popravke i zamjenu ograda, veće popravke ili potpunu zamjenu sprava na dječjim igralištima, uređenje i sanaciju podnih površina i sl.</w:t>
            </w:r>
            <w:r w:rsidRPr="00EC3630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 xml:space="preserve"> </w:t>
            </w:r>
          </w:p>
        </w:tc>
      </w:tr>
      <w:tr w:rsidR="008F1847" w14:paraId="51930E42" w14:textId="77777777" w:rsidTr="00EC3630">
        <w:trPr>
          <w:trHeight w:val="20"/>
        </w:trPr>
        <w:tc>
          <w:tcPr>
            <w:tcW w:w="785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4C2491E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3.1. </w:t>
            </w:r>
          </w:p>
        </w:tc>
        <w:tc>
          <w:tcPr>
            <w:tcW w:w="2477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31FD8F4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Održavanje javnih zelenih površina - redovno održavanje </w:t>
            </w:r>
          </w:p>
        </w:tc>
        <w:tc>
          <w:tcPr>
            <w:tcW w:w="990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676E5A2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47 </w:t>
            </w:r>
          </w:p>
        </w:tc>
        <w:tc>
          <w:tcPr>
            <w:tcW w:w="1417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vAlign w:val="center"/>
          </w:tcPr>
          <w:p w14:paraId="0F856F5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7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35.000,00 </w:t>
            </w:r>
          </w:p>
        </w:tc>
        <w:tc>
          <w:tcPr>
            <w:tcW w:w="19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D0C7EE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0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Komunalna naknada 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36C01E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22.000,00</w:t>
            </w:r>
          </w:p>
        </w:tc>
      </w:tr>
      <w:tr w:rsidR="008F1847" w14:paraId="46C0B596" w14:textId="77777777" w:rsidTr="00EC3630">
        <w:trPr>
          <w:trHeight w:val="20"/>
        </w:trPr>
        <w:tc>
          <w:tcPr>
            <w:tcW w:w="785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196CB0D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77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0F879BA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762C3C4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5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2FCFEF5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87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1ECDE52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0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Prihod od pruženih usluga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5BDCF57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13.000,00</w:t>
            </w:r>
          </w:p>
        </w:tc>
      </w:tr>
      <w:tr w:rsidR="008F1847" w14:paraId="2678EAE5" w14:textId="77777777" w:rsidTr="00EC3630">
        <w:trPr>
          <w:trHeight w:val="20"/>
        </w:trPr>
        <w:tc>
          <w:tcPr>
            <w:tcW w:w="7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A03048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3.2. </w:t>
            </w:r>
          </w:p>
        </w:tc>
        <w:tc>
          <w:tcPr>
            <w:tcW w:w="24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0D24C86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Tekuće održavanje igrališta </w:t>
            </w:r>
          </w:p>
        </w:tc>
        <w:tc>
          <w:tcPr>
            <w:tcW w:w="99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ECE661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0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206 </w:t>
            </w:r>
          </w:p>
        </w:tc>
        <w:tc>
          <w:tcPr>
            <w:tcW w:w="141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F2FE0D6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7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25.000,00 </w:t>
            </w:r>
          </w:p>
        </w:tc>
        <w:tc>
          <w:tcPr>
            <w:tcW w:w="19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AD1796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0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Opći prihodi 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12C95BB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25.000,00</w:t>
            </w:r>
          </w:p>
        </w:tc>
      </w:tr>
    </w:tbl>
    <w:p w14:paraId="07D8235F" w14:textId="77777777" w:rsidR="00EC3630" w:rsidRPr="00EC3630" w:rsidRDefault="00000000" w:rsidP="00EC3630">
      <w:pPr>
        <w:suppressAutoHyphens w:val="0"/>
        <w:autoSpaceDN/>
        <w:spacing w:after="0" w:line="259" w:lineRule="auto"/>
        <w:ind w:left="570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b/>
          <w:color w:val="000000"/>
          <w:kern w:val="2"/>
          <w:sz w:val="20"/>
          <w:szCs w:val="24"/>
          <w:lang w:eastAsia="hr-HR"/>
          <w14:ligatures w14:val="standardContextual"/>
        </w:rPr>
        <w:t xml:space="preserve">  </w:t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 xml:space="preserve">  </w:t>
      </w:r>
      <w:r w:rsidRPr="00EC3630">
        <w:rPr>
          <w:rFonts w:ascii="Arial" w:eastAsia="Arial" w:hAnsi="Arial" w:cs="Arial"/>
          <w:color w:val="000000"/>
          <w:kern w:val="2"/>
          <w:sz w:val="20"/>
          <w:szCs w:val="24"/>
          <w:lang w:eastAsia="hr-HR"/>
          <w14:ligatures w14:val="standardContextual"/>
        </w:rPr>
        <w:tab/>
      </w:r>
      <w:r w:rsidRPr="00EC3630">
        <w:rPr>
          <w:rFonts w:ascii="Arial" w:eastAsia="Arial" w:hAnsi="Arial" w:cs="Arial"/>
          <w:b/>
          <w:color w:val="000000"/>
          <w:kern w:val="2"/>
          <w:sz w:val="20"/>
          <w:szCs w:val="24"/>
          <w:lang w:eastAsia="hr-HR"/>
          <w14:ligatures w14:val="standardContextual"/>
        </w:rPr>
        <w:t xml:space="preserve">    </w:t>
      </w:r>
    </w:p>
    <w:tbl>
      <w:tblPr>
        <w:tblStyle w:val="TableGrid"/>
        <w:tblW w:w="9070" w:type="dxa"/>
        <w:tblInd w:w="-109" w:type="dxa"/>
        <w:tblCellMar>
          <w:top w:w="80" w:type="dxa"/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881"/>
        <w:gridCol w:w="2379"/>
        <w:gridCol w:w="992"/>
        <w:gridCol w:w="1417"/>
        <w:gridCol w:w="1985"/>
        <w:gridCol w:w="1416"/>
      </w:tblGrid>
      <w:tr w:rsidR="008F1847" w14:paraId="4904B068" w14:textId="77777777" w:rsidTr="00EC3630">
        <w:trPr>
          <w:trHeight w:val="20"/>
        </w:trPr>
        <w:tc>
          <w:tcPr>
            <w:tcW w:w="9070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09D199C4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54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4. ODRŽAVANJE GROBLJA    </w:t>
            </w: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</w:t>
            </w: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35.000,00 </w:t>
            </w:r>
          </w:p>
        </w:tc>
      </w:tr>
      <w:tr w:rsidR="008F1847" w14:paraId="4A24DACA" w14:textId="77777777" w:rsidTr="00EC3630">
        <w:trPr>
          <w:trHeight w:val="20"/>
        </w:trPr>
        <w:tc>
          <w:tcPr>
            <w:tcW w:w="9070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53F070D1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4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 xml:space="preserve">Pod održavanjem groblja i mrtvačnica podrazumijeva se čišćenje i popravci u obimu tekućeg održavanja prostora i zgrada za obavljanje ispraćaja i ukopa pokojnika, puteva, zelenih i drugih površina unutar groblja te održavanje grobnih mjesta u nadležnosti Općine Jelenje. </w:t>
            </w:r>
          </w:p>
        </w:tc>
      </w:tr>
      <w:tr w:rsidR="008F1847" w14:paraId="398016BC" w14:textId="77777777" w:rsidTr="00EC3630">
        <w:trPr>
          <w:trHeight w:val="20"/>
        </w:trPr>
        <w:tc>
          <w:tcPr>
            <w:tcW w:w="88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2EA618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24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4.1. </w:t>
            </w:r>
          </w:p>
        </w:tc>
        <w:tc>
          <w:tcPr>
            <w:tcW w:w="23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4AD6D2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Održavanje groblja 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C4293C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15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141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12CBCEB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35.000,00 </w:t>
            </w:r>
          </w:p>
        </w:tc>
        <w:tc>
          <w:tcPr>
            <w:tcW w:w="19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C586BF9" w14:textId="77777777" w:rsidR="00EC3630" w:rsidRPr="00EC3630" w:rsidRDefault="00000000" w:rsidP="00EC3630">
            <w:pPr>
              <w:suppressAutoHyphens w:val="0"/>
              <w:autoSpaceDN/>
              <w:spacing w:line="252" w:lineRule="auto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Naknada za uporabu javnih, gradskih/općinskih površina 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732F8D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35.000,00</w:t>
            </w:r>
          </w:p>
        </w:tc>
      </w:tr>
    </w:tbl>
    <w:p w14:paraId="01F4F59B" w14:textId="77777777" w:rsidR="00EC3630" w:rsidRPr="00EC3630" w:rsidRDefault="00000000" w:rsidP="00EC3630">
      <w:pPr>
        <w:suppressAutoHyphens w:val="0"/>
        <w:autoSpaceDN/>
        <w:spacing w:after="0" w:line="259" w:lineRule="auto"/>
        <w:ind w:left="570"/>
        <w:textAlignment w:val="auto"/>
        <w:rPr>
          <w:rFonts w:ascii="Arial" w:eastAsia="Arial" w:hAnsi="Arial" w:cs="Arial"/>
          <w:color w:val="000000"/>
          <w:kern w:val="2"/>
          <w:sz w:val="14"/>
          <w:szCs w:val="14"/>
          <w:highlight w:val="yellow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 w:val="14"/>
          <w:szCs w:val="14"/>
          <w:highlight w:val="yellow"/>
          <w:lang w:eastAsia="hr-HR"/>
          <w14:ligatures w14:val="standardContextual"/>
        </w:rPr>
        <w:t xml:space="preserve">  </w:t>
      </w:r>
    </w:p>
    <w:tbl>
      <w:tblPr>
        <w:tblStyle w:val="TableGrid"/>
        <w:tblW w:w="9070" w:type="dxa"/>
        <w:tblInd w:w="-109" w:type="dxa"/>
        <w:tblCellMar>
          <w:top w:w="70" w:type="dxa"/>
          <w:left w:w="101" w:type="dxa"/>
        </w:tblCellMar>
        <w:tblLook w:val="04A0" w:firstRow="1" w:lastRow="0" w:firstColumn="1" w:lastColumn="0" w:noHBand="0" w:noVBand="1"/>
      </w:tblPr>
      <w:tblGrid>
        <w:gridCol w:w="877"/>
        <w:gridCol w:w="2383"/>
        <w:gridCol w:w="992"/>
        <w:gridCol w:w="1417"/>
        <w:gridCol w:w="1985"/>
        <w:gridCol w:w="1416"/>
      </w:tblGrid>
      <w:tr w:rsidR="008F1847" w14:paraId="77036491" w14:textId="77777777" w:rsidTr="00EC3630">
        <w:trPr>
          <w:trHeight w:val="20"/>
        </w:trPr>
        <w:tc>
          <w:tcPr>
            <w:tcW w:w="9070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2D7EDD7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54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5. ODRŽAVANJE JAVNE RASVJETE </w:t>
            </w: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</w:t>
            </w: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38.000,00</w:t>
            </w:r>
          </w:p>
        </w:tc>
      </w:tr>
      <w:tr w:rsidR="008F1847" w14:paraId="2976070F" w14:textId="77777777" w:rsidTr="00EC3630">
        <w:trPr>
          <w:trHeight w:val="20"/>
        </w:trPr>
        <w:tc>
          <w:tcPr>
            <w:tcW w:w="9070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5835F7F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4" w:right="108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>Redovno održavanje  javne rasvjete obuhvaća  sve  radnje  vezane  uz  otklanjanje kvarova,  zamjenu  istrošenih  i  neispravnih  dijelova  (rasvjetnih  armatura  i  žarulja,  razvodnih ormara, polja mreže javne rasvjete, kontrolu rada upravljačkih ormara te ostalih elektroinstalacijskih elemenata – osigurači, sklopnici, sklopke i dr.). Izvanredno održavanje javne rasvjete obuhvaća radove na većim popravcima i zamjenama dotrajalih dijelova potrebnih da se održi javna rasvjeta u tehnički ispravnom stanju (stupovi i svjetiljke) te radove na proširenju javne rasvjete ukoliko se bitno ne mijenjaju tehničke karakteristike i funkcionalnost javne rasvjete. Utrošak električne energije odnosi se na podmirenje troškova električne energije javne rasvjete.</w:t>
            </w:r>
            <w:r w:rsidRPr="00EC3630">
              <w:rPr>
                <w:rFonts w:ascii="Arial" w:eastAsia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</w:tr>
      <w:tr w:rsidR="008F1847" w14:paraId="1BD5F6B8" w14:textId="77777777" w:rsidTr="00EC3630">
        <w:trPr>
          <w:trHeight w:val="20"/>
        </w:trPr>
        <w:tc>
          <w:tcPr>
            <w:tcW w:w="8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FF9A5D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5.1. </w:t>
            </w:r>
          </w:p>
        </w:tc>
        <w:tc>
          <w:tcPr>
            <w:tcW w:w="23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75CD9D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Utrošak električne energije 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01DDCA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1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48 </w:t>
            </w:r>
          </w:p>
        </w:tc>
        <w:tc>
          <w:tcPr>
            <w:tcW w:w="141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4A7D54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109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25.000,00</w:t>
            </w:r>
          </w:p>
        </w:tc>
        <w:tc>
          <w:tcPr>
            <w:tcW w:w="19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5AEDFD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1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Opći prihodi 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0CEE28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25.000,00</w:t>
            </w:r>
          </w:p>
        </w:tc>
      </w:tr>
      <w:tr w:rsidR="008F1847" w14:paraId="77D4CFAE" w14:textId="77777777" w:rsidTr="00EC3630">
        <w:trPr>
          <w:trHeight w:val="20"/>
        </w:trPr>
        <w:tc>
          <w:tcPr>
            <w:tcW w:w="8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A66ACD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5.2. </w:t>
            </w:r>
          </w:p>
        </w:tc>
        <w:tc>
          <w:tcPr>
            <w:tcW w:w="23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0026C3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0" w:hanging="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Usluge tekućeg i investicijskog osiguranja 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7FE7EFB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78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49 </w:t>
            </w:r>
          </w:p>
        </w:tc>
        <w:tc>
          <w:tcPr>
            <w:tcW w:w="141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495A267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108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13.000,00 </w:t>
            </w:r>
          </w:p>
        </w:tc>
        <w:tc>
          <w:tcPr>
            <w:tcW w:w="19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2282A7C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1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Prihodi od pruženih usluga 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096B638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106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13.000,00</w:t>
            </w:r>
          </w:p>
        </w:tc>
      </w:tr>
    </w:tbl>
    <w:p w14:paraId="3A305087" w14:textId="77777777" w:rsidR="00EC3630" w:rsidRPr="00EC3630" w:rsidRDefault="00000000" w:rsidP="00EC3630">
      <w:pPr>
        <w:suppressAutoHyphens w:val="0"/>
        <w:autoSpaceDN/>
        <w:spacing w:after="0" w:line="259" w:lineRule="auto"/>
        <w:ind w:left="570"/>
        <w:textAlignment w:val="auto"/>
        <w:rPr>
          <w:rFonts w:ascii="Arial" w:eastAsia="Arial" w:hAnsi="Arial" w:cs="Arial"/>
          <w:color w:val="000000"/>
          <w:kern w:val="2"/>
          <w:sz w:val="14"/>
          <w:szCs w:val="14"/>
          <w:highlight w:val="yellow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 w:val="14"/>
          <w:szCs w:val="14"/>
          <w:highlight w:val="yellow"/>
          <w:lang w:eastAsia="hr-HR"/>
          <w14:ligatures w14:val="standardContextual"/>
        </w:rPr>
        <w:t xml:space="preserve"> </w:t>
      </w:r>
    </w:p>
    <w:tbl>
      <w:tblPr>
        <w:tblStyle w:val="TableGrid"/>
        <w:tblW w:w="9073" w:type="dxa"/>
        <w:tblInd w:w="-109" w:type="dxa"/>
        <w:tblCellMar>
          <w:top w:w="70" w:type="dxa"/>
          <w:left w:w="101" w:type="dxa"/>
          <w:bottom w:w="17" w:type="dxa"/>
          <w:right w:w="22" w:type="dxa"/>
        </w:tblCellMar>
        <w:tblLook w:val="04A0" w:firstRow="1" w:lastRow="0" w:firstColumn="1" w:lastColumn="0" w:noHBand="0" w:noVBand="1"/>
      </w:tblPr>
      <w:tblGrid>
        <w:gridCol w:w="886"/>
        <w:gridCol w:w="2376"/>
        <w:gridCol w:w="992"/>
        <w:gridCol w:w="1417"/>
        <w:gridCol w:w="1986"/>
        <w:gridCol w:w="1416"/>
      </w:tblGrid>
      <w:tr w:rsidR="008F1847" w14:paraId="6BF5AF14" w14:textId="77777777" w:rsidTr="00EC3630">
        <w:trPr>
          <w:trHeight w:val="250"/>
        </w:trPr>
        <w:tc>
          <w:tcPr>
            <w:tcW w:w="9073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bottom"/>
          </w:tcPr>
          <w:p w14:paraId="6A8E30DE" w14:textId="77777777" w:rsidR="00EC3630" w:rsidRPr="00EC3630" w:rsidRDefault="00000000" w:rsidP="00EC3630">
            <w:pPr>
              <w:suppressAutoHyphens w:val="0"/>
              <w:autoSpaceDN/>
              <w:spacing w:after="9" w:line="259" w:lineRule="auto"/>
              <w:ind w:left="54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6. DDD (dezinfekcija, dezinsekcija, deratizacija)                                                                                     8.800,00    </w:t>
            </w:r>
          </w:p>
        </w:tc>
      </w:tr>
      <w:tr w:rsidR="008F1847" w14:paraId="07D64D28" w14:textId="77777777" w:rsidTr="00EC3630">
        <w:trPr>
          <w:trHeight w:val="20"/>
        </w:trPr>
        <w:tc>
          <w:tcPr>
            <w:tcW w:w="9073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</w:tcPr>
          <w:p w14:paraId="4B4A8AD3" w14:textId="77777777" w:rsidR="00EC3630" w:rsidRPr="00EC3630" w:rsidRDefault="00000000" w:rsidP="00EC3630">
            <w:pPr>
              <w:suppressAutoHyphens w:val="0"/>
              <w:autoSpaceDN/>
              <w:spacing w:line="252" w:lineRule="auto"/>
              <w:ind w:left="15" w:right="181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 xml:space="preserve">Poslovi dezinsekcije, deratizacije i dezinfekcije obuhvaćaju provođenje preventivne obvezatne dezinsekcije u cilju sustavnog suzbijanja insekata dva puta godišnje na javnim površinama u vlasništvu Općine, provođenje preventivne dezinfekcije na poziv na javnim i drugim površinama u vlasništvu Općine, provođenje preventivne obvezatne deratizacije u cilju sustavnog suzbijanja glodavaca dva puta godišnje na javnim površinama. </w:t>
            </w:r>
            <w:r w:rsidRPr="00EC3630">
              <w:rPr>
                <w:rFonts w:ascii="Arial" w:eastAsia="Arial" w:hAnsi="Arial" w:cs="Arial"/>
                <w:b/>
                <w:i/>
                <w:color w:val="000000"/>
                <w:sz w:val="12"/>
                <w:szCs w:val="12"/>
              </w:rPr>
              <w:t xml:space="preserve"> </w:t>
            </w:r>
          </w:p>
          <w:p w14:paraId="05BCA489" w14:textId="77777777" w:rsidR="00EC3630" w:rsidRPr="00EC3630" w:rsidRDefault="00000000" w:rsidP="00EC3630">
            <w:pPr>
              <w:suppressAutoHyphens w:val="0"/>
              <w:autoSpaceDN/>
              <w:spacing w:after="35" w:line="259" w:lineRule="auto"/>
              <w:ind w:left="5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 xml:space="preserve">Nadzor nad mjerama provodi Zavod za javno zdravstvo PGŽ, mjere provodi tvrtka s kojima je sklopljen ugovor. </w:t>
            </w:r>
          </w:p>
          <w:p w14:paraId="3100D41E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>Deratizacija i dezinsekcija obavlja se dva puta godišnje na javnim površinama, a naročita se pažnja pridaje prostorima oko napuštenih kuća, odvodnih kanala i sl.</w:t>
            </w:r>
            <w:r w:rsidRPr="00EC3630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 xml:space="preserve">  </w:t>
            </w:r>
          </w:p>
        </w:tc>
      </w:tr>
      <w:tr w:rsidR="008F1847" w14:paraId="4BE79BE7" w14:textId="77777777" w:rsidTr="00EC3630">
        <w:trPr>
          <w:trHeight w:val="20"/>
        </w:trPr>
        <w:tc>
          <w:tcPr>
            <w:tcW w:w="886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435AAB3B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6.1. </w:t>
            </w:r>
          </w:p>
        </w:tc>
        <w:tc>
          <w:tcPr>
            <w:tcW w:w="2376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0867DD04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Stručni nadzor nad provedbom DDD mjera </w:t>
            </w:r>
          </w:p>
        </w:tc>
        <w:tc>
          <w:tcPr>
            <w:tcW w:w="992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1396891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1117134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7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3.800,00</w:t>
            </w:r>
          </w:p>
        </w:tc>
        <w:tc>
          <w:tcPr>
            <w:tcW w:w="19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D4A3F70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9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Naknada za koncesiju 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470869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8F1847" w14:paraId="237F175E" w14:textId="77777777" w:rsidTr="00EC3630">
        <w:trPr>
          <w:trHeight w:val="20"/>
        </w:trPr>
        <w:tc>
          <w:tcPr>
            <w:tcW w:w="886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F54D958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76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522B213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F166A14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5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9F05FAC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87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593449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9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Komunalna naknada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DBB3F7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3.300,00</w:t>
            </w:r>
          </w:p>
        </w:tc>
      </w:tr>
      <w:tr w:rsidR="008F1847" w14:paraId="5B546515" w14:textId="77777777" w:rsidTr="00EC3630">
        <w:trPr>
          <w:trHeight w:val="20"/>
        </w:trPr>
        <w:tc>
          <w:tcPr>
            <w:tcW w:w="886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5DB04824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6.2. </w:t>
            </w:r>
          </w:p>
        </w:tc>
        <w:tc>
          <w:tcPr>
            <w:tcW w:w="2376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4ECC627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Deratizacija i dezinsekcija </w:t>
            </w:r>
          </w:p>
        </w:tc>
        <w:tc>
          <w:tcPr>
            <w:tcW w:w="992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11EB7EA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8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63 </w:t>
            </w:r>
          </w:p>
        </w:tc>
        <w:tc>
          <w:tcPr>
            <w:tcW w:w="1417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126772D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7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5.000,00 </w:t>
            </w:r>
          </w:p>
        </w:tc>
        <w:tc>
          <w:tcPr>
            <w:tcW w:w="19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5AD5A3B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9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Opći prihodi 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66B3EC9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1.038,16 </w:t>
            </w:r>
          </w:p>
        </w:tc>
      </w:tr>
      <w:tr w:rsidR="008F1847" w14:paraId="37F41BE8" w14:textId="77777777" w:rsidTr="00EC3630">
        <w:trPr>
          <w:trHeight w:val="20"/>
        </w:trPr>
        <w:tc>
          <w:tcPr>
            <w:tcW w:w="886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FB6BC15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6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76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05A4939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2B7D026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58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0B8FD60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87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8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3DD0ED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9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Komunalne naknade</w:t>
            </w:r>
          </w:p>
        </w:tc>
        <w:tc>
          <w:tcPr>
            <w:tcW w:w="141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28FF69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3.961,84</w:t>
            </w:r>
          </w:p>
        </w:tc>
      </w:tr>
    </w:tbl>
    <w:p w14:paraId="2ADF6255" w14:textId="77777777" w:rsidR="00EC3630" w:rsidRPr="00EC3630" w:rsidRDefault="00000000" w:rsidP="00EC3630">
      <w:pPr>
        <w:suppressAutoHyphens w:val="0"/>
        <w:autoSpaceDN/>
        <w:spacing w:after="0" w:line="259" w:lineRule="auto"/>
        <w:ind w:right="3009"/>
        <w:jc w:val="right"/>
        <w:textAlignment w:val="auto"/>
        <w:rPr>
          <w:rFonts w:ascii="Arial" w:eastAsia="Arial" w:hAnsi="Arial" w:cs="Arial"/>
          <w:color w:val="000000"/>
          <w:kern w:val="2"/>
          <w:sz w:val="14"/>
          <w:szCs w:val="1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i/>
          <w:color w:val="000000"/>
          <w:kern w:val="2"/>
          <w:sz w:val="14"/>
          <w:szCs w:val="14"/>
          <w:lang w:eastAsia="hr-HR"/>
          <w14:ligatures w14:val="standardContextual"/>
        </w:rPr>
        <w:t xml:space="preserve">  </w:t>
      </w:r>
      <w:r w:rsidRPr="00EC3630">
        <w:rPr>
          <w:rFonts w:ascii="Arial" w:eastAsia="Arial" w:hAnsi="Arial" w:cs="Arial"/>
          <w:i/>
          <w:color w:val="000000"/>
          <w:kern w:val="2"/>
          <w:sz w:val="14"/>
          <w:szCs w:val="14"/>
          <w:lang w:eastAsia="hr-HR"/>
          <w14:ligatures w14:val="standardContextual"/>
        </w:rPr>
        <w:tab/>
        <w:t xml:space="preserve">  </w:t>
      </w:r>
      <w:r w:rsidRPr="00EC3630">
        <w:rPr>
          <w:rFonts w:ascii="Arial" w:eastAsia="Arial" w:hAnsi="Arial" w:cs="Arial"/>
          <w:i/>
          <w:color w:val="000000"/>
          <w:kern w:val="2"/>
          <w:sz w:val="14"/>
          <w:szCs w:val="14"/>
          <w:lang w:eastAsia="hr-HR"/>
          <w14:ligatures w14:val="standardContextual"/>
        </w:rPr>
        <w:tab/>
        <w:t xml:space="preserve">  </w:t>
      </w:r>
    </w:p>
    <w:tbl>
      <w:tblPr>
        <w:tblStyle w:val="TableGrid"/>
        <w:tblW w:w="9073" w:type="dxa"/>
        <w:tblInd w:w="-109" w:type="dxa"/>
        <w:tblCellMar>
          <w:top w:w="73" w:type="dxa"/>
          <w:left w:w="100" w:type="dxa"/>
          <w:right w:w="21" w:type="dxa"/>
        </w:tblCellMar>
        <w:tblLook w:val="04A0" w:firstRow="1" w:lastRow="0" w:firstColumn="1" w:lastColumn="0" w:noHBand="0" w:noVBand="1"/>
      </w:tblPr>
      <w:tblGrid>
        <w:gridCol w:w="712"/>
        <w:gridCol w:w="29"/>
        <w:gridCol w:w="1902"/>
        <w:gridCol w:w="1611"/>
        <w:gridCol w:w="1417"/>
        <w:gridCol w:w="2123"/>
        <w:gridCol w:w="123"/>
        <w:gridCol w:w="1156"/>
      </w:tblGrid>
      <w:tr w:rsidR="008F1847" w14:paraId="70568CF5" w14:textId="77777777" w:rsidTr="00EC3630">
        <w:trPr>
          <w:trHeight w:val="20"/>
        </w:trPr>
        <w:tc>
          <w:tcPr>
            <w:tcW w:w="9073" w:type="dxa"/>
            <w:gridSpan w:val="8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56CC228E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521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7. PRIJEVOZ POKOJNIKA SUKLADNO ZAKONSKOJ OBVEZI                                                                1.500,00     </w:t>
            </w:r>
          </w:p>
        </w:tc>
      </w:tr>
      <w:tr w:rsidR="008F1847" w14:paraId="668AB8DE" w14:textId="77777777" w:rsidTr="00EC3630">
        <w:trPr>
          <w:trHeight w:val="20"/>
        </w:trPr>
        <w:tc>
          <w:tcPr>
            <w:tcW w:w="9073" w:type="dxa"/>
            <w:gridSpan w:val="8"/>
            <w:tcBorders>
              <w:top w:val="single" w:sz="4" w:space="0" w:color="C8C8C8"/>
              <w:left w:val="single" w:sz="4" w:space="0" w:color="C8C8C8"/>
              <w:bottom w:val="dashed" w:sz="4" w:space="0" w:color="000000"/>
              <w:right w:val="single" w:sz="4" w:space="0" w:color="C8C8C8"/>
            </w:tcBorders>
            <w:shd w:val="clear" w:color="auto" w:fill="F4F2F1"/>
          </w:tcPr>
          <w:p w14:paraId="436A7802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0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 xml:space="preserve">Prijevoz pokojnika obuhvaća uslugu preuzimanja i prijevoz umrle osobe ili posmrtnih ostataka od mjesta smrti do nadležne patologije ili sudske medicine, za koje nije moguće utvrditi uzrok smrti bez obdukcije, a sukladno Zakonu o pogrebničkoj djelatnosti. </w:t>
            </w:r>
          </w:p>
        </w:tc>
      </w:tr>
      <w:tr w:rsidR="008F1847" w14:paraId="539A0FAA" w14:textId="77777777" w:rsidTr="00EC3630">
        <w:trPr>
          <w:trHeight w:val="20"/>
        </w:trPr>
        <w:tc>
          <w:tcPr>
            <w:tcW w:w="7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2E31C2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7.1. </w:t>
            </w:r>
          </w:p>
        </w:tc>
        <w:tc>
          <w:tcPr>
            <w:tcW w:w="193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DBCCA09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Prijevoz pokojnika</w:t>
            </w:r>
          </w:p>
        </w:tc>
        <w:tc>
          <w:tcPr>
            <w:tcW w:w="161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E9F6D19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14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52929E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212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396A3E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1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Naknada za uporabu javnih, gradskih/općinskih površina</w:t>
            </w:r>
          </w:p>
        </w:tc>
        <w:tc>
          <w:tcPr>
            <w:tcW w:w="1279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0ADB8DE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  <w:highlight w:val="yellow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1.500,00</w:t>
            </w:r>
          </w:p>
        </w:tc>
      </w:tr>
      <w:tr w:rsidR="008F1847" w14:paraId="39623927" w14:textId="77777777" w:rsidTr="00EC3630">
        <w:trPr>
          <w:trHeight w:val="20"/>
        </w:trPr>
        <w:tc>
          <w:tcPr>
            <w:tcW w:w="9073" w:type="dxa"/>
            <w:gridSpan w:val="8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</w:tcPr>
          <w:p w14:paraId="5857BFB4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54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8. OSTALE AKTIVNOSTI                                                                                         </w:t>
            </w: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34</w:t>
            </w: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.000,00</w:t>
            </w:r>
          </w:p>
        </w:tc>
      </w:tr>
      <w:tr w:rsidR="008F1847" w14:paraId="4FB9D1EF" w14:textId="77777777" w:rsidTr="00EC3630">
        <w:trPr>
          <w:trHeight w:val="20"/>
        </w:trPr>
        <w:tc>
          <w:tcPr>
            <w:tcW w:w="9073" w:type="dxa"/>
            <w:gridSpan w:val="8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vAlign w:val="center"/>
          </w:tcPr>
          <w:p w14:paraId="08376211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5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EC3630">
              <w:rPr>
                <w:rFonts w:ascii="Arial" w:eastAsia="Arial" w:hAnsi="Arial" w:cs="Arial"/>
                <w:i/>
                <w:color w:val="000000"/>
                <w:sz w:val="12"/>
                <w:szCs w:val="12"/>
              </w:rPr>
              <w:t>Ostale aktivnosti obuhvaćaju sufinanciranje troškova higijeničarske službe, sakupljanja, prijevoza i neškodljivo uklanjanje lešina s javnih površina, zbrinjavanje pasa i mačaka lutalica sukladno Zakonu o zaštiti životinja, provođenje mjera nadzora divljači, odvoz krupnog otpada s javnih i zelenih površina</w:t>
            </w:r>
          </w:p>
        </w:tc>
      </w:tr>
      <w:tr w:rsidR="008F1847" w14:paraId="0F1DCF20" w14:textId="77777777" w:rsidTr="00EC3630">
        <w:trPr>
          <w:trHeight w:val="20"/>
        </w:trPr>
        <w:tc>
          <w:tcPr>
            <w:tcW w:w="741" w:type="dxa"/>
            <w:gridSpan w:val="2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26B79AA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8.1. </w:t>
            </w:r>
          </w:p>
        </w:tc>
        <w:tc>
          <w:tcPr>
            <w:tcW w:w="1902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6CB52141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Higijeničarske usluge </w:t>
            </w:r>
          </w:p>
        </w:tc>
        <w:tc>
          <w:tcPr>
            <w:tcW w:w="1611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7BC9AEF9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4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56  </w:t>
            </w:r>
          </w:p>
        </w:tc>
        <w:tc>
          <w:tcPr>
            <w:tcW w:w="1417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034A8A1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6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224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ashed" w:sz="4" w:space="0" w:color="000000"/>
            </w:tcBorders>
          </w:tcPr>
          <w:p w14:paraId="5DA10D31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Opći prihodi</w:t>
            </w:r>
          </w:p>
        </w:tc>
        <w:tc>
          <w:tcPr>
            <w:tcW w:w="1156" w:type="dxa"/>
            <w:tcBorders>
              <w:top w:val="single" w:sz="4" w:space="0" w:color="C8C8C8"/>
              <w:left w:val="dashed" w:sz="4" w:space="0" w:color="000000"/>
              <w:bottom w:val="single" w:sz="4" w:space="0" w:color="C8C8C8"/>
              <w:right w:val="single" w:sz="4" w:space="0" w:color="C8C8C8"/>
            </w:tcBorders>
          </w:tcPr>
          <w:p w14:paraId="0683F36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12.000,00</w:t>
            </w:r>
          </w:p>
        </w:tc>
      </w:tr>
      <w:tr w:rsidR="008F1847" w14:paraId="6A43FB2C" w14:textId="77777777" w:rsidTr="00EC3630">
        <w:trPr>
          <w:trHeight w:val="20"/>
        </w:trPr>
        <w:tc>
          <w:tcPr>
            <w:tcW w:w="741" w:type="dxa"/>
            <w:gridSpan w:val="2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59FB926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B8E94F6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left="2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1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7F57704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4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6EE3792A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86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ashed" w:sz="4" w:space="0" w:color="000000"/>
            </w:tcBorders>
          </w:tcPr>
          <w:p w14:paraId="27AC409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6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Komunalna naknada</w:t>
            </w:r>
          </w:p>
        </w:tc>
        <w:tc>
          <w:tcPr>
            <w:tcW w:w="1156" w:type="dxa"/>
            <w:tcBorders>
              <w:top w:val="single" w:sz="4" w:space="0" w:color="C8C8C8"/>
              <w:left w:val="dashed" w:sz="4" w:space="0" w:color="000000"/>
              <w:bottom w:val="single" w:sz="4" w:space="0" w:color="C8C8C8"/>
              <w:right w:val="single" w:sz="4" w:space="0" w:color="C8C8C8"/>
            </w:tcBorders>
          </w:tcPr>
          <w:p w14:paraId="1637805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6.000,00</w:t>
            </w:r>
          </w:p>
        </w:tc>
      </w:tr>
      <w:tr w:rsidR="008F1847" w14:paraId="17265D32" w14:textId="77777777" w:rsidTr="00EC3630">
        <w:trPr>
          <w:trHeight w:val="20"/>
        </w:trPr>
        <w:tc>
          <w:tcPr>
            <w:tcW w:w="741" w:type="dxa"/>
            <w:gridSpan w:val="2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4D07B83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8.2. </w:t>
            </w:r>
          </w:p>
        </w:tc>
        <w:tc>
          <w:tcPr>
            <w:tcW w:w="1902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3C3267F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0" w:hanging="10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Zbrinjavanje nepoželjne divljači </w:t>
            </w:r>
          </w:p>
        </w:tc>
        <w:tc>
          <w:tcPr>
            <w:tcW w:w="16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74CBA76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1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3E2F6F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8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2.000,00 </w:t>
            </w:r>
          </w:p>
        </w:tc>
        <w:tc>
          <w:tcPr>
            <w:tcW w:w="224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ashed" w:sz="4" w:space="0" w:color="000000"/>
            </w:tcBorders>
          </w:tcPr>
          <w:p w14:paraId="7529FB15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0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Opći prihodi</w:t>
            </w:r>
          </w:p>
        </w:tc>
        <w:tc>
          <w:tcPr>
            <w:tcW w:w="1156" w:type="dxa"/>
            <w:tcBorders>
              <w:top w:val="single" w:sz="4" w:space="0" w:color="C8C8C8"/>
              <w:left w:val="dashed" w:sz="4" w:space="0" w:color="000000"/>
              <w:bottom w:val="single" w:sz="4" w:space="0" w:color="C8C8C8"/>
              <w:right w:val="single" w:sz="4" w:space="0" w:color="C8C8C8"/>
            </w:tcBorders>
          </w:tcPr>
          <w:p w14:paraId="6692572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2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2.000,00</w:t>
            </w:r>
          </w:p>
        </w:tc>
      </w:tr>
      <w:tr w:rsidR="008F1847" w14:paraId="3A1203F6" w14:textId="77777777" w:rsidTr="00EC3630">
        <w:trPr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35D1FB77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3A8D5D4" w14:textId="77777777" w:rsidR="00EC3630" w:rsidRPr="00EC3630" w:rsidRDefault="00EC3630" w:rsidP="00EC3630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F1FF871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1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88AB308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8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224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ashed" w:sz="4" w:space="0" w:color="000000"/>
            </w:tcBorders>
          </w:tcPr>
          <w:p w14:paraId="5C032BA5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0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Opći prihodi</w:t>
            </w:r>
          </w:p>
        </w:tc>
        <w:tc>
          <w:tcPr>
            <w:tcW w:w="1156" w:type="dxa"/>
            <w:tcBorders>
              <w:top w:val="single" w:sz="4" w:space="0" w:color="C8C8C8"/>
              <w:left w:val="dashed" w:sz="4" w:space="0" w:color="000000"/>
              <w:bottom w:val="single" w:sz="4" w:space="0" w:color="C8C8C8"/>
              <w:right w:val="single" w:sz="4" w:space="0" w:color="C8C8C8"/>
            </w:tcBorders>
          </w:tcPr>
          <w:p w14:paraId="00AE4ECF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2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5.000,00</w:t>
            </w:r>
          </w:p>
        </w:tc>
      </w:tr>
      <w:tr w:rsidR="008F1847" w14:paraId="07AE3394" w14:textId="77777777" w:rsidTr="00EC3630">
        <w:trPr>
          <w:trHeight w:val="20"/>
        </w:trPr>
        <w:tc>
          <w:tcPr>
            <w:tcW w:w="741" w:type="dxa"/>
            <w:gridSpan w:val="2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602EC70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2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lastRenderedPageBreak/>
              <w:t xml:space="preserve">8.3. </w:t>
            </w:r>
          </w:p>
        </w:tc>
        <w:tc>
          <w:tcPr>
            <w:tcW w:w="1902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7D95B0CD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Odvoz krupnog otpada</w:t>
            </w:r>
          </w:p>
        </w:tc>
        <w:tc>
          <w:tcPr>
            <w:tcW w:w="1611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72ACAC32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5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55 </w:t>
            </w:r>
          </w:p>
        </w:tc>
        <w:tc>
          <w:tcPr>
            <w:tcW w:w="1417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</w:tcPr>
          <w:p w14:paraId="6556E097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88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9.000,00 </w:t>
            </w:r>
          </w:p>
        </w:tc>
        <w:tc>
          <w:tcPr>
            <w:tcW w:w="224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0F2E662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0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Opći prihodi</w:t>
            </w:r>
          </w:p>
        </w:tc>
        <w:tc>
          <w:tcPr>
            <w:tcW w:w="115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17D1C2A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2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1.500,00</w:t>
            </w:r>
          </w:p>
        </w:tc>
      </w:tr>
      <w:tr w:rsidR="008F1847" w14:paraId="4DA367C1" w14:textId="77777777" w:rsidTr="00EC3630">
        <w:trPr>
          <w:trHeight w:val="20"/>
        </w:trPr>
        <w:tc>
          <w:tcPr>
            <w:tcW w:w="741" w:type="dxa"/>
            <w:gridSpan w:val="2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40FD70B5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left="2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5D9B595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11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1C17E933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57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5C5A1BB9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right="88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07E66C04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60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Naknada za uporabu javnih, gradskih/općinskih površina</w:t>
            </w:r>
          </w:p>
        </w:tc>
        <w:tc>
          <w:tcPr>
            <w:tcW w:w="115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14:paraId="2DCA86D5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326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color w:val="000000"/>
                <w:sz w:val="14"/>
                <w:szCs w:val="14"/>
              </w:rPr>
              <w:t>7.500,00</w:t>
            </w:r>
          </w:p>
        </w:tc>
      </w:tr>
    </w:tbl>
    <w:p w14:paraId="10D030CE" w14:textId="77777777" w:rsidR="00EC3630" w:rsidRPr="00EC3630" w:rsidRDefault="00000000" w:rsidP="00EC3630">
      <w:pPr>
        <w:suppressAutoHyphens w:val="0"/>
        <w:autoSpaceDN/>
        <w:spacing w:after="0" w:line="259" w:lineRule="auto"/>
        <w:ind w:left="459"/>
        <w:textAlignment w:val="auto"/>
        <w:rPr>
          <w:rFonts w:ascii="Arial" w:eastAsia="Arial" w:hAnsi="Arial" w:cs="Arial"/>
          <w:color w:val="000000"/>
          <w:kern w:val="2"/>
          <w:sz w:val="14"/>
          <w:szCs w:val="14"/>
          <w:highlight w:val="yellow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 w:val="14"/>
          <w:szCs w:val="14"/>
          <w:highlight w:val="yellow"/>
          <w:lang w:eastAsia="hr-HR"/>
          <w14:ligatures w14:val="standardContextual"/>
        </w:rPr>
        <w:t xml:space="preserve"> </w:t>
      </w:r>
    </w:p>
    <w:tbl>
      <w:tblPr>
        <w:tblStyle w:val="TableGrid"/>
        <w:tblW w:w="9238" w:type="dxa"/>
        <w:tblInd w:w="-279" w:type="dxa"/>
        <w:tblCellMar>
          <w:top w:w="101" w:type="dxa"/>
          <w:right w:w="63" w:type="dxa"/>
        </w:tblCellMar>
        <w:tblLook w:val="04A0" w:firstRow="1" w:lastRow="0" w:firstColumn="1" w:lastColumn="0" w:noHBand="0" w:noVBand="1"/>
      </w:tblPr>
      <w:tblGrid>
        <w:gridCol w:w="7964"/>
        <w:gridCol w:w="1274"/>
      </w:tblGrid>
      <w:tr w:rsidR="008F1847" w14:paraId="093CC32B" w14:textId="77777777" w:rsidTr="00EC3630">
        <w:trPr>
          <w:trHeight w:val="20"/>
        </w:trPr>
        <w:tc>
          <w:tcPr>
            <w:tcW w:w="796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nil"/>
            </w:tcBorders>
            <w:shd w:val="clear" w:color="auto" w:fill="A8D08D"/>
          </w:tcPr>
          <w:p w14:paraId="1DED129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438"/>
              <w:jc w:val="center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  <w:p w14:paraId="2AEE4CAC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35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PROCJENA TROŠKOVA ODRŽAVANJA KOMUNALNE INFRASTRUKTURE ZA 2025. GODINU  (u eur</w:t>
            </w: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4" w:type="dxa"/>
            <w:tcBorders>
              <w:top w:val="single" w:sz="4" w:space="0" w:color="C8C8C8"/>
              <w:left w:val="nil"/>
              <w:bottom w:val="single" w:sz="4" w:space="0" w:color="C8C8C8"/>
              <w:right w:val="single" w:sz="4" w:space="0" w:color="C8C8C8"/>
            </w:tcBorders>
            <w:shd w:val="clear" w:color="auto" w:fill="A8D08D"/>
            <w:vAlign w:val="center"/>
          </w:tcPr>
          <w:p w14:paraId="13002FF7" w14:textId="77777777" w:rsidR="00EC3630" w:rsidRPr="00EC3630" w:rsidRDefault="00EC3630" w:rsidP="00EC3630">
            <w:pPr>
              <w:suppressAutoHyphens w:val="0"/>
              <w:autoSpaceDN/>
              <w:spacing w:line="259" w:lineRule="auto"/>
              <w:ind w:left="-96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8F1847" w14:paraId="720023A6" w14:textId="77777777" w:rsidTr="00EC3630">
        <w:trPr>
          <w:trHeight w:val="20"/>
        </w:trPr>
        <w:tc>
          <w:tcPr>
            <w:tcW w:w="796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7B17F114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left="127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SVEUKUPNO </w:t>
            </w:r>
          </w:p>
        </w:tc>
        <w:tc>
          <w:tcPr>
            <w:tcW w:w="1274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14:paraId="60888FC3" w14:textId="77777777" w:rsidR="00EC3630" w:rsidRPr="00EC3630" w:rsidRDefault="00000000" w:rsidP="00EC3630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C3630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494.800,00 </w:t>
            </w:r>
          </w:p>
        </w:tc>
      </w:tr>
    </w:tbl>
    <w:p w14:paraId="0A648228" w14:textId="77777777" w:rsidR="00EC3630" w:rsidRPr="00EC3630" w:rsidRDefault="00000000" w:rsidP="00EC3630">
      <w:pPr>
        <w:suppressAutoHyphens w:val="0"/>
        <w:autoSpaceDN/>
        <w:spacing w:after="31" w:line="259" w:lineRule="auto"/>
        <w:ind w:left="459"/>
        <w:textAlignment w:val="auto"/>
        <w:rPr>
          <w:rFonts w:ascii="Arial" w:eastAsia="Arial" w:hAnsi="Arial" w:cs="Arial"/>
          <w:color w:val="000000"/>
          <w:kern w:val="2"/>
          <w:sz w:val="14"/>
          <w:szCs w:val="1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 w:val="14"/>
          <w:szCs w:val="14"/>
          <w:lang w:eastAsia="hr-HR"/>
          <w14:ligatures w14:val="standardContextual"/>
        </w:rPr>
        <w:t xml:space="preserve"> </w:t>
      </w:r>
    </w:p>
    <w:p w14:paraId="4CE1ECE8" w14:textId="77777777" w:rsidR="00EC3630" w:rsidRPr="00EC3630" w:rsidRDefault="00000000" w:rsidP="00EC3630">
      <w:pPr>
        <w:suppressAutoHyphens w:val="0"/>
        <w:autoSpaceDN/>
        <w:spacing w:after="165" w:line="259" w:lineRule="auto"/>
        <w:ind w:left="31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124A58D9" w14:textId="77777777" w:rsidR="00EC3630" w:rsidRPr="00EC3630" w:rsidRDefault="00000000" w:rsidP="00EC3630">
      <w:pPr>
        <w:suppressAutoHyphens w:val="0"/>
        <w:autoSpaceDN/>
        <w:spacing w:after="240" w:line="240" w:lineRule="atLeast"/>
        <w:ind w:left="17" w:right="11" w:hanging="11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Ove izmjene Programa stupaju na snagu osmog dana od dana od objave u „Službenim novinama Općine Jelenje“.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8F1847" w14:paraId="2F4634A8" w14:textId="77777777" w:rsidTr="00CE0755">
        <w:tc>
          <w:tcPr>
            <w:tcW w:w="1023" w:type="dxa"/>
            <w:hideMark/>
          </w:tcPr>
          <w:p w14:paraId="39988645" w14:textId="77777777" w:rsidR="001857B3" w:rsidRPr="004807FC" w:rsidRDefault="00000000" w:rsidP="00CE0755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2B63D099" w14:textId="77777777" w:rsidR="001857B3" w:rsidRPr="004807FC" w:rsidRDefault="00000000" w:rsidP="00CE0755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F1847" w14:paraId="5A8BF2A0" w14:textId="77777777" w:rsidTr="00CE0755">
        <w:tc>
          <w:tcPr>
            <w:tcW w:w="1023" w:type="dxa"/>
            <w:hideMark/>
          </w:tcPr>
          <w:p w14:paraId="335ED7EA" w14:textId="77777777" w:rsidR="001857B3" w:rsidRPr="004807FC" w:rsidRDefault="00000000" w:rsidP="00CE0755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588DFF67" w14:textId="77777777" w:rsidR="001857B3" w:rsidRPr="004807FC" w:rsidRDefault="00000000" w:rsidP="00CE0755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2170-20-03-01/03-25-26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8F1847" w14:paraId="56390A20" w14:textId="77777777" w:rsidTr="00CE0755">
        <w:tc>
          <w:tcPr>
            <w:tcW w:w="1023" w:type="dxa"/>
            <w:hideMark/>
          </w:tcPr>
          <w:p w14:paraId="45E7C6A8" w14:textId="77777777" w:rsidR="001857B3" w:rsidRPr="004807FC" w:rsidRDefault="00000000" w:rsidP="00CE0755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67BCEF66" w14:textId="77777777" w:rsidR="001857B3" w:rsidRPr="004807FC" w:rsidRDefault="00000000" w:rsidP="00CE0755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24.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3FC0DBC" w14:textId="77777777" w:rsidR="00EC3630" w:rsidRPr="00EC3630" w:rsidRDefault="00000000" w:rsidP="00EC3630">
      <w:pPr>
        <w:suppressAutoHyphens w:val="0"/>
        <w:autoSpaceDN/>
        <w:spacing w:after="5" w:line="259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 OPĆINSKOG VIJEĆA</w:t>
      </w:r>
    </w:p>
    <w:p w14:paraId="37A7B64C" w14:textId="77777777" w:rsidR="00EC3630" w:rsidRPr="00EC3630" w:rsidRDefault="00000000" w:rsidP="00EC3630">
      <w:pPr>
        <w:suppressAutoHyphens w:val="0"/>
        <w:autoSpaceDN/>
        <w:spacing w:after="438" w:line="265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380942A6" w14:textId="77777777" w:rsidR="00EC3630" w:rsidRPr="00EC3630" w:rsidRDefault="00000000" w:rsidP="00EC3630">
      <w:pPr>
        <w:suppressAutoHyphens w:val="0"/>
        <w:autoSpaceDN/>
        <w:spacing w:after="128" w:line="265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EC3630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564EA741" w14:textId="77777777" w:rsidR="00EC3630" w:rsidRPr="00EC3630" w:rsidRDefault="00EC3630" w:rsidP="00EC3630">
      <w:pPr>
        <w:suppressAutoHyphens w:val="0"/>
        <w:autoSpaceDN/>
        <w:spacing w:after="0" w:line="259" w:lineRule="auto"/>
        <w:ind w:left="-429" w:right="-442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2273575C" w14:textId="77777777" w:rsidR="00EC3630" w:rsidRPr="004807FC" w:rsidRDefault="00EC3630" w:rsidP="00EC3630">
      <w:pPr>
        <w:spacing w:after="0"/>
        <w:rPr>
          <w:rFonts w:ascii="Arial" w:eastAsia="Times New Roman" w:hAnsi="Arial" w:cs="Arial"/>
          <w:lang w:eastAsia="hr-HR"/>
        </w:rPr>
      </w:pPr>
    </w:p>
    <w:sectPr w:rsidR="00EC3630" w:rsidRPr="004807FC" w:rsidSect="006A08B7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CE02C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7F24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E7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5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49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AE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8D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04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A8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64D25AC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FA450E2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E16F49C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93CC5D6A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35C0AB6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60C27864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516E542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A5B0FDB6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C3286262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601498245">
    <w:abstractNumId w:val="0"/>
  </w:num>
  <w:num w:numId="2" w16cid:durableId="129525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0717E"/>
    <w:rsid w:val="00145F1D"/>
    <w:rsid w:val="001857B3"/>
    <w:rsid w:val="0023681D"/>
    <w:rsid w:val="002555C1"/>
    <w:rsid w:val="00266706"/>
    <w:rsid w:val="00293B4E"/>
    <w:rsid w:val="002A3DFF"/>
    <w:rsid w:val="003316D9"/>
    <w:rsid w:val="00341AF9"/>
    <w:rsid w:val="0035155F"/>
    <w:rsid w:val="0038657E"/>
    <w:rsid w:val="003D4F64"/>
    <w:rsid w:val="003F2E3A"/>
    <w:rsid w:val="00464030"/>
    <w:rsid w:val="004807FC"/>
    <w:rsid w:val="00496E95"/>
    <w:rsid w:val="00496F6C"/>
    <w:rsid w:val="004A683B"/>
    <w:rsid w:val="00532B20"/>
    <w:rsid w:val="00535989"/>
    <w:rsid w:val="00567A77"/>
    <w:rsid w:val="005A324D"/>
    <w:rsid w:val="00666163"/>
    <w:rsid w:val="006837E4"/>
    <w:rsid w:val="006A08B7"/>
    <w:rsid w:val="0074334F"/>
    <w:rsid w:val="00760CD3"/>
    <w:rsid w:val="008674C8"/>
    <w:rsid w:val="008765B7"/>
    <w:rsid w:val="008C7BB1"/>
    <w:rsid w:val="008D74A9"/>
    <w:rsid w:val="008F1847"/>
    <w:rsid w:val="00926781"/>
    <w:rsid w:val="00952991"/>
    <w:rsid w:val="00A81EDD"/>
    <w:rsid w:val="00AD49B3"/>
    <w:rsid w:val="00AE35C9"/>
    <w:rsid w:val="00B349D1"/>
    <w:rsid w:val="00B634DA"/>
    <w:rsid w:val="00B87D2F"/>
    <w:rsid w:val="00BE3359"/>
    <w:rsid w:val="00BF5729"/>
    <w:rsid w:val="00C354D2"/>
    <w:rsid w:val="00C37878"/>
    <w:rsid w:val="00CE0755"/>
    <w:rsid w:val="00D2181B"/>
    <w:rsid w:val="00D9622C"/>
    <w:rsid w:val="00E2769D"/>
    <w:rsid w:val="00EC3630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A8F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3630"/>
    <w:pPr>
      <w:spacing w:after="0" w:line="240" w:lineRule="auto"/>
    </w:pPr>
    <w:rPr>
      <w:rFonts w:eastAsia="Times New Roman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6</cp:revision>
  <cp:lastPrinted>2022-12-12T07:50:00Z</cp:lastPrinted>
  <dcterms:created xsi:type="dcterms:W3CDTF">2025-11-26T14:14:00Z</dcterms:created>
  <dcterms:modified xsi:type="dcterms:W3CDTF">2025-12-03T15:43:00Z</dcterms:modified>
</cp:coreProperties>
</file>