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FA10" w14:textId="77777777" w:rsidR="00725619" w:rsidRPr="00564B9D" w:rsidRDefault="00725619" w:rsidP="00725619">
      <w:pPr>
        <w:suppressAutoHyphens w:val="0"/>
        <w:autoSpaceDN/>
        <w:spacing w:after="165"/>
        <w:ind w:left="10" w:right="57" w:hanging="9"/>
        <w:jc w:val="both"/>
        <w:textAlignment w:val="auto"/>
        <w:rPr>
          <w:rFonts w:ascii="Arial" w:eastAsia="Arial" w:hAnsi="Arial" w:cs="Arial"/>
          <w:color w:val="FF0000"/>
          <w:kern w:val="2"/>
          <w:lang w:eastAsia="hr-HR"/>
          <w14:ligatures w14:val="standardContextual"/>
        </w:rPr>
      </w:pPr>
      <w:r w:rsidRPr="00564B9D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Na temelju članka 289. stavak 2. i 7. Zakona o socijalnoj skrbi ("Narodne novine" broj 18/22, 46/22, 119/22 i 71/23), članka 73. stavak 1. Zakona o rodiljnim i roditeljskim potporama ("Narodne novine" broj 152/22), članka 11. stavak 5. Zakona o zdravstvenoj zaštiti ("Narodne novine" broj 100/18., 125/19., 133/20., 147/20., 136/21., 119/22., 156/22., 33/23.) te članka 33. stavak 1. točka 13. Statuta Općine Jelenje („Službene novine Općine Jelenje“ broj 59/23 Općinsko vijeće Općine Jelenje na 17. sjednici održanoj dana 21. prosinca 2023. donosi</w:t>
      </w:r>
    </w:p>
    <w:p w14:paraId="1D32E931" w14:textId="77777777" w:rsidR="00725619" w:rsidRPr="00564B9D" w:rsidRDefault="00725619" w:rsidP="00725619">
      <w:pPr>
        <w:suppressAutoHyphens w:val="0"/>
        <w:autoSpaceDN/>
        <w:spacing w:after="0"/>
        <w:ind w:left="11" w:right="57" w:hanging="11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564B9D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Program javnih potreba u socijalnoj skrbi i zdravstvu </w:t>
      </w:r>
    </w:p>
    <w:p w14:paraId="4528CB2D" w14:textId="77777777" w:rsidR="00725619" w:rsidRPr="00564B9D" w:rsidRDefault="00725619" w:rsidP="00725619">
      <w:pPr>
        <w:suppressAutoHyphens w:val="0"/>
        <w:autoSpaceDN/>
        <w:spacing w:after="0"/>
        <w:ind w:left="11" w:right="57" w:hanging="11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 w:rsidRPr="00564B9D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Općine Jelenje za 2024. godinu</w:t>
      </w:r>
    </w:p>
    <w:p w14:paraId="49075709" w14:textId="77777777" w:rsidR="00725619" w:rsidRPr="00564B9D" w:rsidRDefault="00725619" w:rsidP="00725619">
      <w:pPr>
        <w:suppressAutoHyphens w:val="0"/>
        <w:autoSpaceDN/>
        <w:spacing w:after="165"/>
        <w:ind w:left="10" w:right="57" w:hanging="9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</w:p>
    <w:p w14:paraId="39A2DE5E" w14:textId="77777777" w:rsidR="00725619" w:rsidRPr="00564B9D" w:rsidRDefault="00725619" w:rsidP="00725619">
      <w:pPr>
        <w:suppressAutoHyphens w:val="0"/>
        <w:autoSpaceDN/>
        <w:spacing w:after="165"/>
        <w:ind w:left="10" w:right="57" w:hanging="9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 w:rsidRPr="00564B9D"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1.</w:t>
      </w:r>
    </w:p>
    <w:p w14:paraId="38399DC8" w14:textId="77777777" w:rsidR="00725619" w:rsidRPr="00564B9D" w:rsidRDefault="00725619" w:rsidP="00725619">
      <w:pPr>
        <w:suppressAutoHyphens w:val="0"/>
        <w:autoSpaceDN/>
        <w:spacing w:after="15" w:line="247" w:lineRule="auto"/>
        <w:ind w:right="11" w:hanging="9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564B9D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Programom javnih potreba u socijalnoj skrbi i zdravstvu za 2024. godinu (u nastavku: Program) utvrđuju se javne potrebe na način da se stanovnicima Općine Jelenje osigura viši standard socijalne i zdravstvene zaštite od onog koji svojim programima osigurava država, a čime se stvaraju osnovni preduvjeti za kvalitetniji život kako pojedinca tako i obitelji, a naročito pojedinca i obitelji čije materijalno stanje nije dostatno za podmirenje osnovnih životnih potreba.  </w:t>
      </w:r>
    </w:p>
    <w:p w14:paraId="1566CF23" w14:textId="77777777" w:rsidR="00725619" w:rsidRPr="00564B9D" w:rsidRDefault="00725619" w:rsidP="00725619">
      <w:pPr>
        <w:suppressAutoHyphens w:val="0"/>
        <w:autoSpaceDN/>
        <w:spacing w:after="165" w:line="266" w:lineRule="auto"/>
        <w:ind w:left="10" w:right="57" w:hanging="9"/>
        <w:jc w:val="center"/>
        <w:textAlignment w:val="auto"/>
        <w:rPr>
          <w:rFonts w:ascii="Arial" w:eastAsia="Times New Roman" w:hAnsi="Arial"/>
          <w:b/>
          <w:bCs/>
          <w:color w:val="000000"/>
          <w:kern w:val="2"/>
          <w:sz w:val="23"/>
          <w:szCs w:val="23"/>
          <w:lang w:eastAsia="hr-HR"/>
          <w14:ligatures w14:val="standardContextual"/>
        </w:rPr>
      </w:pPr>
    </w:p>
    <w:p w14:paraId="24251E26" w14:textId="77777777" w:rsidR="00725619" w:rsidRPr="00564B9D" w:rsidRDefault="00725619" w:rsidP="00725619">
      <w:pPr>
        <w:suppressAutoHyphens w:val="0"/>
        <w:autoSpaceDN/>
        <w:spacing w:after="165" w:line="266" w:lineRule="auto"/>
        <w:ind w:left="10" w:right="57" w:hanging="9"/>
        <w:jc w:val="center"/>
        <w:textAlignment w:val="auto"/>
        <w:rPr>
          <w:rFonts w:ascii="Arial" w:eastAsia="Times New Roman" w:hAnsi="Arial"/>
          <w:color w:val="000000"/>
          <w:kern w:val="2"/>
          <w:sz w:val="23"/>
          <w:szCs w:val="23"/>
          <w:lang w:eastAsia="hr-HR"/>
          <w14:ligatures w14:val="standardContextual"/>
        </w:rPr>
      </w:pPr>
      <w:r w:rsidRPr="00564B9D">
        <w:rPr>
          <w:rFonts w:ascii="Arial" w:eastAsia="Times New Roman" w:hAnsi="Arial"/>
          <w:b/>
          <w:bCs/>
          <w:color w:val="000000"/>
          <w:kern w:val="2"/>
          <w:sz w:val="23"/>
          <w:szCs w:val="23"/>
          <w:lang w:eastAsia="hr-HR"/>
          <w14:ligatures w14:val="standardContextual"/>
        </w:rPr>
        <w:t>Članak 2</w:t>
      </w:r>
      <w:r w:rsidRPr="00564B9D">
        <w:rPr>
          <w:rFonts w:ascii="Arial" w:eastAsia="Times New Roman" w:hAnsi="Arial"/>
          <w:color w:val="000000"/>
          <w:kern w:val="2"/>
          <w:sz w:val="23"/>
          <w:szCs w:val="23"/>
          <w:lang w:eastAsia="hr-HR"/>
          <w14:ligatures w14:val="standardContextual"/>
        </w:rPr>
        <w:t>.</w:t>
      </w:r>
    </w:p>
    <w:p w14:paraId="3F0266A1" w14:textId="77777777" w:rsidR="00725619" w:rsidRPr="00564B9D" w:rsidRDefault="00725619" w:rsidP="00725619">
      <w:pPr>
        <w:suppressAutoHyphens w:val="0"/>
        <w:autoSpaceDN/>
        <w:spacing w:after="15" w:line="247" w:lineRule="auto"/>
        <w:ind w:left="10" w:right="67" w:hanging="9"/>
        <w:jc w:val="both"/>
        <w:textAlignment w:val="auto"/>
        <w:rPr>
          <w:rFonts w:ascii="Arial" w:eastAsia="Times New Roman" w:hAnsi="Arial" w:cs="Arial"/>
          <w:kern w:val="2"/>
          <w:lang w:eastAsia="hr-HR"/>
          <w14:ligatures w14:val="standardContextual"/>
        </w:rPr>
      </w:pPr>
      <w:r w:rsidRPr="00564B9D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>U odnosu na zdravstvenu skrb programom su obuhvaćeni</w:t>
      </w:r>
      <w:r w:rsidRPr="00564B9D">
        <w:rPr>
          <w:rFonts w:ascii="Arial" w:eastAsia="Times New Roman" w:hAnsi="Arial" w:cs="Arial"/>
          <w:kern w:val="2"/>
          <w:lang w:eastAsia="hr-HR"/>
          <w14:ligatures w14:val="standardContextual"/>
        </w:rPr>
        <w:t>:</w:t>
      </w:r>
    </w:p>
    <w:tbl>
      <w:tblPr>
        <w:tblW w:w="9345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725619" w14:paraId="4D52CA7F" w14:textId="77777777" w:rsidTr="002A4492">
        <w:trPr>
          <w:trHeight w:val="173"/>
        </w:trPr>
        <w:tc>
          <w:tcPr>
            <w:tcW w:w="9351" w:type="dxa"/>
            <w:vAlign w:val="center"/>
            <w:hideMark/>
          </w:tcPr>
          <w:p w14:paraId="5A280B9F" w14:textId="77777777" w:rsidR="00725619" w:rsidRPr="00564B9D" w:rsidRDefault="00725619" w:rsidP="002A4492">
            <w:pPr>
              <w:suppressAutoHyphens w:val="0"/>
              <w:autoSpaceDN/>
              <w:spacing w:after="0" w:line="240" w:lineRule="auto"/>
              <w:ind w:left="11" w:right="57" w:hanging="11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lang w:eastAsia="hr-HR"/>
                <w14:ligatures w14:val="standardContextual"/>
              </w:rPr>
              <w:t xml:space="preserve">1. </w:t>
            </w:r>
            <w:r w:rsidRPr="00564B9D">
              <w:rPr>
                <w:rFonts w:ascii="Arial" w:hAnsi="Arial" w:cs="Arial"/>
                <w:color w:val="242021"/>
                <w14:ligatures w14:val="standardContextual"/>
              </w:rPr>
              <w:t>Potpora za novorođeno dijete</w:t>
            </w:r>
          </w:p>
        </w:tc>
      </w:tr>
      <w:tr w:rsidR="00725619" w14:paraId="3DD0CE2A" w14:textId="77777777" w:rsidTr="002A4492">
        <w:trPr>
          <w:trHeight w:val="133"/>
        </w:trPr>
        <w:tc>
          <w:tcPr>
            <w:tcW w:w="9351" w:type="dxa"/>
            <w:vAlign w:val="center"/>
            <w:hideMark/>
          </w:tcPr>
          <w:p w14:paraId="7C2F4E03" w14:textId="77777777" w:rsidR="00725619" w:rsidRPr="00564B9D" w:rsidRDefault="00725619" w:rsidP="002A4492">
            <w:pPr>
              <w:suppressAutoHyphens w:val="0"/>
              <w:autoSpaceDN/>
              <w:spacing w:after="0" w:line="240" w:lineRule="auto"/>
              <w:ind w:left="11" w:right="57" w:hanging="11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lang w:eastAsia="hr-HR"/>
                <w14:ligatures w14:val="standardContextual"/>
              </w:rPr>
              <w:t>2. Tečaj za trudnice - škola za rodilje</w:t>
            </w:r>
          </w:p>
        </w:tc>
      </w:tr>
      <w:tr w:rsidR="00725619" w14:paraId="2934DAA8" w14:textId="77777777" w:rsidTr="002A4492">
        <w:trPr>
          <w:trHeight w:val="79"/>
        </w:trPr>
        <w:tc>
          <w:tcPr>
            <w:tcW w:w="9351" w:type="dxa"/>
            <w:vAlign w:val="center"/>
            <w:hideMark/>
          </w:tcPr>
          <w:p w14:paraId="0E81EB84" w14:textId="77777777" w:rsidR="00725619" w:rsidRPr="00564B9D" w:rsidRDefault="00725619" w:rsidP="002A4492">
            <w:pPr>
              <w:suppressAutoHyphens w:val="0"/>
              <w:autoSpaceDN/>
              <w:spacing w:after="0" w:line="240" w:lineRule="auto"/>
              <w:ind w:left="11" w:right="57" w:hanging="11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lang w:eastAsia="hr-HR"/>
                <w14:ligatures w14:val="standardContextual"/>
              </w:rPr>
            </w:pPr>
            <w:r w:rsidRPr="00564B9D">
              <w:rPr>
                <w:rFonts w:ascii="Arial" w:hAnsi="Arial" w:cs="Arial"/>
                <w:color w:val="242021"/>
                <w14:ligatures w14:val="standardContextual"/>
              </w:rPr>
              <w:t xml:space="preserve">3. Sufinanciranje prehrane i savjetovališta za dojenčad </w:t>
            </w:r>
          </w:p>
        </w:tc>
      </w:tr>
      <w:tr w:rsidR="00725619" w14:paraId="1E7C80EA" w14:textId="77777777" w:rsidTr="002A4492">
        <w:trPr>
          <w:trHeight w:val="79"/>
        </w:trPr>
        <w:tc>
          <w:tcPr>
            <w:tcW w:w="9351" w:type="dxa"/>
            <w:vAlign w:val="center"/>
            <w:hideMark/>
          </w:tcPr>
          <w:p w14:paraId="6BB51F3E" w14:textId="77777777" w:rsidR="00725619" w:rsidRPr="00564B9D" w:rsidRDefault="00725619" w:rsidP="002A4492">
            <w:pPr>
              <w:suppressAutoHyphens w:val="0"/>
              <w:autoSpaceDN/>
              <w:spacing w:after="0" w:line="240" w:lineRule="auto"/>
              <w:ind w:left="11" w:right="57" w:hanging="11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lang w:eastAsia="hr-HR"/>
                <w14:ligatures w14:val="standardContextual"/>
              </w:rPr>
              <w:t>4. Prevencijsko-dijagnostički pregledi za odrasle</w:t>
            </w:r>
          </w:p>
        </w:tc>
      </w:tr>
      <w:tr w:rsidR="00725619" w14:paraId="70FF6A9B" w14:textId="77777777" w:rsidTr="002A4492">
        <w:trPr>
          <w:trHeight w:val="114"/>
        </w:trPr>
        <w:tc>
          <w:tcPr>
            <w:tcW w:w="9351" w:type="dxa"/>
            <w:vAlign w:val="center"/>
            <w:hideMark/>
          </w:tcPr>
          <w:p w14:paraId="296A605C" w14:textId="77777777" w:rsidR="00725619" w:rsidRPr="00564B9D" w:rsidRDefault="00725619" w:rsidP="002A4492">
            <w:pPr>
              <w:suppressAutoHyphens w:val="0"/>
              <w:autoSpaceDN/>
              <w:spacing w:after="0" w:line="240" w:lineRule="auto"/>
              <w:ind w:left="11" w:right="57" w:hanging="11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lang w:eastAsia="hr-HR"/>
                <w14:ligatures w14:val="standardContextual"/>
              </w:rPr>
              <w:t>5. Prevencijsko-dijagnostički pregledi i tretmani za djecu</w:t>
            </w:r>
          </w:p>
        </w:tc>
      </w:tr>
      <w:tr w:rsidR="00725619" w14:paraId="37D9FD87" w14:textId="77777777" w:rsidTr="002A4492">
        <w:trPr>
          <w:trHeight w:val="59"/>
        </w:trPr>
        <w:tc>
          <w:tcPr>
            <w:tcW w:w="9351" w:type="dxa"/>
            <w:vAlign w:val="center"/>
            <w:hideMark/>
          </w:tcPr>
          <w:p w14:paraId="11A9BD90" w14:textId="77777777" w:rsidR="00725619" w:rsidRPr="00564B9D" w:rsidRDefault="00725619" w:rsidP="002A4492">
            <w:pPr>
              <w:suppressAutoHyphens w:val="0"/>
              <w:autoSpaceDN/>
              <w:spacing w:after="0" w:line="240" w:lineRule="auto"/>
              <w:ind w:left="11" w:right="57" w:hanging="11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lang w:eastAsia="hr-HR"/>
                <w14:ligatures w14:val="standardContextual"/>
              </w:rPr>
              <w:t xml:space="preserve">6. Financiranje javnog prijevoza dobrovoljnim davateljima krvi </w:t>
            </w:r>
          </w:p>
        </w:tc>
      </w:tr>
      <w:tr w:rsidR="00725619" w14:paraId="50B80204" w14:textId="77777777" w:rsidTr="002A4492">
        <w:trPr>
          <w:trHeight w:val="59"/>
        </w:trPr>
        <w:tc>
          <w:tcPr>
            <w:tcW w:w="9351" w:type="dxa"/>
            <w:vAlign w:val="center"/>
            <w:hideMark/>
          </w:tcPr>
          <w:p w14:paraId="40DFF112" w14:textId="77777777" w:rsidR="00725619" w:rsidRPr="00564B9D" w:rsidRDefault="00725619" w:rsidP="002A4492">
            <w:pPr>
              <w:suppressAutoHyphens w:val="0"/>
              <w:autoSpaceDN/>
              <w:spacing w:after="0" w:line="240" w:lineRule="auto"/>
              <w:ind w:left="11" w:right="57" w:hanging="11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lang w:eastAsia="hr-HR"/>
                <w14:ligatures w14:val="standardContextual"/>
              </w:rPr>
              <w:t>7. Punktovi posebnog dežurstva</w:t>
            </w:r>
          </w:p>
          <w:p w14:paraId="6A300EE3" w14:textId="77777777" w:rsidR="00725619" w:rsidRPr="00564B9D" w:rsidRDefault="00725619" w:rsidP="002A4492">
            <w:pPr>
              <w:suppressAutoHyphens w:val="0"/>
              <w:autoSpaceDN/>
              <w:spacing w:after="0" w:line="240" w:lineRule="auto"/>
              <w:ind w:left="11" w:right="57" w:hanging="11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lang w:eastAsia="hr-HR"/>
                <w14:ligatures w14:val="standardContextual"/>
              </w:rPr>
              <w:t>8. Palijativna skrb</w:t>
            </w:r>
          </w:p>
        </w:tc>
      </w:tr>
    </w:tbl>
    <w:p w14:paraId="3E322E57" w14:textId="77777777" w:rsidR="00725619" w:rsidRPr="00564B9D" w:rsidRDefault="00725619" w:rsidP="00725619">
      <w:pPr>
        <w:suppressAutoHyphens w:val="0"/>
        <w:autoSpaceDN/>
        <w:spacing w:after="15" w:line="247" w:lineRule="auto"/>
        <w:ind w:right="215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2628A61C" w14:textId="77777777" w:rsidR="00725619" w:rsidRPr="00564B9D" w:rsidRDefault="00725619" w:rsidP="00725619">
      <w:pPr>
        <w:suppressAutoHyphens w:val="0"/>
        <w:autoSpaceDN/>
        <w:spacing w:after="165" w:line="266" w:lineRule="auto"/>
        <w:ind w:left="10" w:right="57" w:hanging="9"/>
        <w:jc w:val="center"/>
        <w:textAlignment w:val="auto"/>
        <w:rPr>
          <w:rFonts w:ascii="Arial" w:eastAsia="Times New Roman" w:hAnsi="Arial"/>
          <w:b/>
          <w:bCs/>
          <w:color w:val="000000"/>
          <w:kern w:val="2"/>
          <w:sz w:val="23"/>
          <w:szCs w:val="23"/>
          <w:lang w:eastAsia="hr-HR"/>
          <w14:ligatures w14:val="standardContextual"/>
        </w:rPr>
      </w:pPr>
      <w:r w:rsidRPr="00564B9D">
        <w:rPr>
          <w:rFonts w:ascii="Arial" w:eastAsia="Times New Roman" w:hAnsi="Arial"/>
          <w:b/>
          <w:bCs/>
          <w:color w:val="000000"/>
          <w:kern w:val="2"/>
          <w:sz w:val="23"/>
          <w:szCs w:val="23"/>
          <w:lang w:eastAsia="hr-HR"/>
          <w14:ligatures w14:val="standardContextual"/>
        </w:rPr>
        <w:t xml:space="preserve">Članak 3. </w:t>
      </w:r>
    </w:p>
    <w:p w14:paraId="0079463C" w14:textId="77777777" w:rsidR="00725619" w:rsidRPr="00564B9D" w:rsidRDefault="00725619" w:rsidP="00725619">
      <w:pPr>
        <w:suppressAutoHyphens w:val="0"/>
        <w:autoSpaceDN/>
        <w:spacing w:after="15" w:line="247" w:lineRule="auto"/>
        <w:ind w:right="-75" w:hanging="9"/>
        <w:jc w:val="both"/>
        <w:textAlignment w:val="auto"/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</w:pPr>
      <w:r w:rsidRPr="00564B9D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>U odnosu na socijalnu skrb, program obuhvaća:</w:t>
      </w:r>
    </w:p>
    <w:p w14:paraId="478818E7" w14:textId="77777777" w:rsidR="00725619" w:rsidRPr="00564B9D" w:rsidRDefault="00725619" w:rsidP="00725619">
      <w:pPr>
        <w:numPr>
          <w:ilvl w:val="0"/>
          <w:numId w:val="1"/>
        </w:numPr>
        <w:shd w:val="clear" w:color="auto" w:fill="FFFFFF"/>
        <w:suppressAutoHyphens w:val="0"/>
        <w:autoSpaceDN/>
        <w:spacing w:after="0" w:line="266" w:lineRule="auto"/>
        <w:ind w:right="57"/>
        <w:jc w:val="both"/>
        <w:textAlignment w:val="auto"/>
        <w:rPr>
          <w:rFonts w:ascii="Arial" w:eastAsia="Times New Roman" w:hAnsi="Arial" w:cs="Arial"/>
        </w:rPr>
      </w:pPr>
      <w:bookmarkStart w:id="0" w:name="_Hlk149603460"/>
      <w:bookmarkStart w:id="1" w:name="_Hlk149602045"/>
      <w:r w:rsidRPr="00564B9D">
        <w:rPr>
          <w:rFonts w:ascii="Arial" w:eastAsia="Times New Roman" w:hAnsi="Arial" w:cs="Arial"/>
        </w:rPr>
        <w:t>Novčane pomoći u teškim životnim okolnostima,</w:t>
      </w:r>
    </w:p>
    <w:p w14:paraId="4B303D18" w14:textId="77777777" w:rsidR="00725619" w:rsidRPr="00564B9D" w:rsidRDefault="00725619" w:rsidP="00725619">
      <w:pPr>
        <w:numPr>
          <w:ilvl w:val="0"/>
          <w:numId w:val="1"/>
        </w:numPr>
        <w:shd w:val="clear" w:color="auto" w:fill="FFFFFF"/>
        <w:suppressAutoHyphens w:val="0"/>
        <w:autoSpaceDN/>
        <w:spacing w:after="0" w:line="266" w:lineRule="auto"/>
        <w:ind w:right="57"/>
        <w:jc w:val="both"/>
        <w:textAlignment w:val="auto"/>
        <w:rPr>
          <w:rFonts w:ascii="Arial" w:eastAsia="Times New Roman" w:hAnsi="Arial" w:cs="Arial"/>
        </w:rPr>
      </w:pPr>
      <w:r w:rsidRPr="00564B9D">
        <w:rPr>
          <w:rFonts w:ascii="Arial" w:eastAsia="Times New Roman" w:hAnsi="Arial" w:cs="Arial"/>
        </w:rPr>
        <w:t>Podmirenje troškova prehrane i prigodne pomoći,</w:t>
      </w:r>
    </w:p>
    <w:p w14:paraId="14A4AB98" w14:textId="77777777" w:rsidR="00725619" w:rsidRPr="00564B9D" w:rsidRDefault="00725619" w:rsidP="00725619">
      <w:pPr>
        <w:numPr>
          <w:ilvl w:val="0"/>
          <w:numId w:val="1"/>
        </w:numPr>
        <w:shd w:val="clear" w:color="auto" w:fill="FFFFFF"/>
        <w:suppressAutoHyphens w:val="0"/>
        <w:autoSpaceDN/>
        <w:spacing w:after="0" w:line="266" w:lineRule="auto"/>
        <w:ind w:right="57"/>
        <w:jc w:val="both"/>
        <w:textAlignment w:val="auto"/>
        <w:rPr>
          <w:rFonts w:ascii="Arial" w:eastAsia="Times New Roman" w:hAnsi="Arial" w:cs="Arial"/>
        </w:rPr>
      </w:pPr>
      <w:r w:rsidRPr="00564B9D">
        <w:rPr>
          <w:rFonts w:ascii="Arial" w:eastAsia="Times New Roman" w:hAnsi="Arial" w:cs="Arial"/>
        </w:rPr>
        <w:t>Podmirenje troškova prijevoza,</w:t>
      </w:r>
    </w:p>
    <w:p w14:paraId="0C57B2F3" w14:textId="77777777" w:rsidR="00725619" w:rsidRPr="00564B9D" w:rsidRDefault="00725619" w:rsidP="00725619">
      <w:pPr>
        <w:numPr>
          <w:ilvl w:val="0"/>
          <w:numId w:val="1"/>
        </w:numPr>
        <w:shd w:val="clear" w:color="auto" w:fill="FFFFFF"/>
        <w:suppressAutoHyphens w:val="0"/>
        <w:autoSpaceDN/>
        <w:spacing w:after="0" w:line="266" w:lineRule="auto"/>
        <w:ind w:right="57"/>
        <w:jc w:val="both"/>
        <w:textAlignment w:val="auto"/>
        <w:rPr>
          <w:rFonts w:ascii="Arial" w:eastAsia="Times New Roman" w:hAnsi="Arial" w:cs="Arial"/>
        </w:rPr>
      </w:pPr>
      <w:r w:rsidRPr="00564B9D">
        <w:rPr>
          <w:rFonts w:ascii="Arial" w:eastAsia="Times New Roman" w:hAnsi="Arial" w:cs="Arial"/>
        </w:rPr>
        <w:t>Pomoć u kući i druge vrste pomoći u okviru projekta Zajedno u zlatnim godinama,</w:t>
      </w:r>
    </w:p>
    <w:p w14:paraId="1B78C7C1" w14:textId="77777777" w:rsidR="00725619" w:rsidRPr="00564B9D" w:rsidRDefault="00725619" w:rsidP="00725619">
      <w:pPr>
        <w:numPr>
          <w:ilvl w:val="0"/>
          <w:numId w:val="1"/>
        </w:numPr>
        <w:shd w:val="clear" w:color="auto" w:fill="FFFFFF"/>
        <w:suppressAutoHyphens w:val="0"/>
        <w:autoSpaceDN/>
        <w:spacing w:after="0" w:line="266" w:lineRule="auto"/>
        <w:ind w:right="57"/>
        <w:jc w:val="both"/>
        <w:textAlignment w:val="auto"/>
        <w:rPr>
          <w:rFonts w:ascii="Arial" w:eastAsia="Times New Roman" w:hAnsi="Arial" w:cs="Arial"/>
        </w:rPr>
      </w:pPr>
      <w:r w:rsidRPr="00564B9D">
        <w:rPr>
          <w:rFonts w:ascii="Arial" w:eastAsia="Times New Roman" w:hAnsi="Arial" w:cs="Arial"/>
        </w:rPr>
        <w:t>Financiranje pune cijene predškolskog obrazovanja,</w:t>
      </w:r>
    </w:p>
    <w:p w14:paraId="039408CA" w14:textId="77777777" w:rsidR="00725619" w:rsidRPr="00564B9D" w:rsidRDefault="00725619" w:rsidP="00725619">
      <w:pPr>
        <w:numPr>
          <w:ilvl w:val="0"/>
          <w:numId w:val="1"/>
        </w:numPr>
        <w:shd w:val="clear" w:color="auto" w:fill="FFFFFF"/>
        <w:suppressAutoHyphens w:val="0"/>
        <w:autoSpaceDN/>
        <w:spacing w:after="0" w:line="266" w:lineRule="auto"/>
        <w:ind w:right="57"/>
        <w:jc w:val="both"/>
        <w:textAlignment w:val="auto"/>
        <w:rPr>
          <w:rFonts w:ascii="Arial" w:eastAsia="Times New Roman" w:hAnsi="Arial" w:cs="Arial"/>
        </w:rPr>
      </w:pPr>
      <w:r w:rsidRPr="00564B9D">
        <w:rPr>
          <w:rFonts w:ascii="Arial" w:eastAsia="Times New Roman" w:hAnsi="Arial" w:cs="Arial"/>
        </w:rPr>
        <w:t>Financiranje pune cijene produženog boravka,</w:t>
      </w:r>
    </w:p>
    <w:p w14:paraId="6121E068" w14:textId="77777777" w:rsidR="00725619" w:rsidRPr="00564B9D" w:rsidRDefault="00725619" w:rsidP="00725619">
      <w:pPr>
        <w:numPr>
          <w:ilvl w:val="0"/>
          <w:numId w:val="1"/>
        </w:numPr>
        <w:shd w:val="clear" w:color="auto" w:fill="FFFFFF"/>
        <w:suppressAutoHyphens w:val="0"/>
        <w:autoSpaceDN/>
        <w:spacing w:after="0" w:line="266" w:lineRule="auto"/>
        <w:ind w:right="57"/>
        <w:jc w:val="both"/>
        <w:textAlignment w:val="auto"/>
        <w:rPr>
          <w:rFonts w:ascii="Arial" w:eastAsia="Times New Roman" w:hAnsi="Arial" w:cs="Arial"/>
        </w:rPr>
      </w:pPr>
      <w:r w:rsidRPr="00564B9D">
        <w:rPr>
          <w:rFonts w:ascii="Arial" w:eastAsia="Times New Roman" w:hAnsi="Arial" w:cs="Arial"/>
        </w:rPr>
        <w:t>Podmirenje pogrebnih troškova,</w:t>
      </w:r>
    </w:p>
    <w:p w14:paraId="6BAAEA5E" w14:textId="77777777" w:rsidR="00725619" w:rsidRPr="00564B9D" w:rsidRDefault="00725619" w:rsidP="00725619">
      <w:pPr>
        <w:numPr>
          <w:ilvl w:val="0"/>
          <w:numId w:val="1"/>
        </w:numPr>
        <w:shd w:val="clear" w:color="auto" w:fill="FFFFFF"/>
        <w:suppressAutoHyphens w:val="0"/>
        <w:autoSpaceDN/>
        <w:spacing w:after="0" w:line="266" w:lineRule="auto"/>
        <w:ind w:right="57"/>
        <w:jc w:val="both"/>
        <w:textAlignment w:val="auto"/>
        <w:rPr>
          <w:rFonts w:ascii="Arial" w:eastAsia="Times New Roman" w:hAnsi="Arial" w:cs="Arial"/>
        </w:rPr>
      </w:pPr>
      <w:r w:rsidRPr="00564B9D">
        <w:rPr>
          <w:rFonts w:ascii="Arial" w:eastAsia="Times New Roman" w:hAnsi="Arial" w:cs="Arial"/>
        </w:rPr>
        <w:t>Naknadu za troškove stanovanja,</w:t>
      </w:r>
    </w:p>
    <w:p w14:paraId="16EE0A44" w14:textId="77777777" w:rsidR="00725619" w:rsidRPr="00564B9D" w:rsidRDefault="00725619" w:rsidP="00725619">
      <w:pPr>
        <w:numPr>
          <w:ilvl w:val="0"/>
          <w:numId w:val="1"/>
        </w:numPr>
        <w:shd w:val="clear" w:color="auto" w:fill="FFFFFF"/>
        <w:suppressAutoHyphens w:val="0"/>
        <w:autoSpaceDN/>
        <w:spacing w:after="0" w:line="266" w:lineRule="auto"/>
        <w:ind w:right="57"/>
        <w:jc w:val="both"/>
        <w:textAlignment w:val="auto"/>
        <w:rPr>
          <w:rFonts w:ascii="Arial" w:eastAsia="Times New Roman" w:hAnsi="Arial" w:cs="Arial"/>
        </w:rPr>
      </w:pPr>
      <w:r w:rsidRPr="00564B9D">
        <w:rPr>
          <w:rFonts w:ascii="Arial" w:eastAsia="Times New Roman" w:hAnsi="Arial" w:cs="Arial"/>
        </w:rPr>
        <w:t>Financiranje javnog prijevoza invalidima,</w:t>
      </w:r>
    </w:p>
    <w:p w14:paraId="450C9EC1" w14:textId="77777777" w:rsidR="00725619" w:rsidRPr="00564B9D" w:rsidRDefault="00725619" w:rsidP="00725619">
      <w:pPr>
        <w:numPr>
          <w:ilvl w:val="0"/>
          <w:numId w:val="1"/>
        </w:numPr>
        <w:shd w:val="clear" w:color="auto" w:fill="FFFFFF"/>
        <w:suppressAutoHyphens w:val="0"/>
        <w:autoSpaceDN/>
        <w:spacing w:after="0" w:line="266" w:lineRule="auto"/>
        <w:ind w:right="57"/>
        <w:jc w:val="both"/>
        <w:textAlignment w:val="auto"/>
        <w:rPr>
          <w:rFonts w:ascii="Arial" w:eastAsia="Times New Roman" w:hAnsi="Arial" w:cs="Arial"/>
        </w:rPr>
      </w:pPr>
      <w:r w:rsidRPr="00564B9D">
        <w:rPr>
          <w:rFonts w:ascii="Arial" w:eastAsia="Times New Roman" w:hAnsi="Arial" w:cs="Arial"/>
        </w:rPr>
        <w:t>Potpore socijalno-humanitarnim udrugama.</w:t>
      </w:r>
    </w:p>
    <w:p w14:paraId="103339F8" w14:textId="77777777" w:rsidR="00725619" w:rsidRPr="00564B9D" w:rsidRDefault="00725619" w:rsidP="00725619">
      <w:pPr>
        <w:shd w:val="clear" w:color="auto" w:fill="FFFFFF"/>
        <w:suppressAutoHyphens w:val="0"/>
        <w:autoSpaceDN/>
        <w:spacing w:after="0"/>
        <w:ind w:left="927"/>
        <w:jc w:val="both"/>
        <w:textAlignment w:val="auto"/>
        <w:rPr>
          <w:rFonts w:ascii="Arial" w:eastAsia="Times New Roman" w:hAnsi="Arial" w:cs="Arial"/>
        </w:rPr>
      </w:pPr>
    </w:p>
    <w:bookmarkEnd w:id="0"/>
    <w:bookmarkEnd w:id="1"/>
    <w:p w14:paraId="18438922" w14:textId="77777777" w:rsidR="00725619" w:rsidRPr="00564B9D" w:rsidRDefault="00725619" w:rsidP="00725619">
      <w:pPr>
        <w:suppressAutoHyphens w:val="0"/>
        <w:autoSpaceDN/>
        <w:spacing w:after="160" w:line="256" w:lineRule="auto"/>
        <w:jc w:val="center"/>
        <w:textAlignment w:val="auto"/>
        <w:rPr>
          <w:rFonts w:ascii="Arial" w:eastAsia="Times New Roman" w:hAnsi="Arial"/>
          <w:b/>
          <w:bCs/>
          <w:color w:val="000000"/>
          <w:kern w:val="2"/>
          <w:sz w:val="23"/>
          <w:szCs w:val="23"/>
          <w:lang w:eastAsia="hr-HR"/>
          <w14:ligatures w14:val="standardContextual"/>
        </w:rPr>
      </w:pPr>
      <w:r w:rsidRPr="00564B9D">
        <w:rPr>
          <w:rFonts w:ascii="Arial" w:eastAsia="Times New Roman" w:hAnsi="Arial"/>
          <w:b/>
          <w:bCs/>
          <w:color w:val="000000"/>
          <w:kern w:val="2"/>
          <w:sz w:val="23"/>
          <w:szCs w:val="23"/>
          <w:lang w:eastAsia="hr-HR"/>
          <w14:ligatures w14:val="standardContextual"/>
        </w:rPr>
        <w:t>Članak 4.</w:t>
      </w:r>
    </w:p>
    <w:p w14:paraId="71F08D01" w14:textId="77777777" w:rsidR="00725619" w:rsidRDefault="00725619" w:rsidP="00725619">
      <w:pPr>
        <w:suppressAutoHyphens w:val="0"/>
        <w:autoSpaceDN/>
        <w:spacing w:after="165" w:line="266" w:lineRule="auto"/>
        <w:ind w:right="57"/>
        <w:contextualSpacing/>
        <w:jc w:val="both"/>
        <w:textAlignment w:val="auto"/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</w:pPr>
      <w:r w:rsidRPr="00564B9D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Sredstva za ostvarivanje javnih potreba iz članka 2. i 3. Programa osigurana su u Proračunu za 2024. godinu u ukupnom iznosu od 258.250,00 EUR te se raspoređuju kako slijedi: </w:t>
      </w:r>
    </w:p>
    <w:p w14:paraId="345E4D49" w14:textId="77777777" w:rsidR="00725619" w:rsidRPr="00564B9D" w:rsidRDefault="00725619" w:rsidP="00725619">
      <w:pPr>
        <w:suppressAutoHyphens w:val="0"/>
        <w:autoSpaceDN/>
        <w:spacing w:after="165" w:line="266" w:lineRule="auto"/>
        <w:ind w:right="57"/>
        <w:contextualSpacing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7503"/>
        <w:gridCol w:w="1842"/>
      </w:tblGrid>
      <w:tr w:rsidR="00725619" w14:paraId="70BB59D8" w14:textId="77777777" w:rsidTr="002A4492">
        <w:trPr>
          <w:trHeight w:val="40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20C7AEFB" w14:textId="77777777" w:rsidR="00725619" w:rsidRPr="00564B9D" w:rsidRDefault="00725619" w:rsidP="002A4492">
            <w:pPr>
              <w:suppressAutoHyphens w:val="0"/>
              <w:autoSpaceDN/>
              <w:spacing w:after="0" w:line="240" w:lineRule="auto"/>
              <w:ind w:left="11" w:right="57" w:hanging="11"/>
              <w:contextualSpacing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VRSTA RASHODA/IZDATAKA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27909546" w14:textId="77777777" w:rsidR="00725619" w:rsidRPr="00564B9D" w:rsidRDefault="00725619" w:rsidP="002A4492">
            <w:pPr>
              <w:suppressAutoHyphens w:val="0"/>
              <w:autoSpaceDN/>
              <w:spacing w:after="0" w:line="240" w:lineRule="auto"/>
              <w:ind w:left="11" w:right="57" w:hanging="11"/>
              <w:contextualSpacing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IZNOS u eurima</w:t>
            </w:r>
          </w:p>
        </w:tc>
      </w:tr>
      <w:tr w:rsidR="00725619" w14:paraId="719FFC70" w14:textId="77777777" w:rsidTr="002A4492">
        <w:trPr>
          <w:trHeight w:val="284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14:paraId="5E72B53E" w14:textId="77777777" w:rsidR="00725619" w:rsidRPr="00564B9D" w:rsidRDefault="00725619" w:rsidP="002A4492">
            <w:pPr>
              <w:suppressAutoHyphens w:val="0"/>
              <w:autoSpaceDN/>
              <w:spacing w:after="0" w:line="240" w:lineRule="auto"/>
              <w:ind w:left="11" w:right="57" w:hanging="11"/>
              <w:contextualSpacing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lastRenderedPageBreak/>
              <w:t>1. ZDRAVSTVENI PROGRAM</w:t>
            </w:r>
          </w:p>
        </w:tc>
      </w:tr>
      <w:tr w:rsidR="00725619" w14:paraId="58FA9C9C" w14:textId="77777777" w:rsidTr="002A4492">
        <w:trPr>
          <w:trHeight w:val="17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4AA0" w14:textId="77777777" w:rsidR="00725619" w:rsidRPr="00564B9D" w:rsidRDefault="00725619" w:rsidP="002A4492">
            <w:pPr>
              <w:suppressAutoHyphens w:val="0"/>
              <w:autoSpaceDN/>
              <w:spacing w:after="0" w:line="240" w:lineRule="auto"/>
              <w:ind w:left="306" w:right="57" w:hanging="306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1. </w:t>
            </w:r>
            <w:r w:rsidRPr="00564B9D">
              <w:rPr>
                <w:rFonts w:ascii="Arial" w:hAnsi="Arial" w:cs="Arial"/>
                <w:color w:val="242021"/>
                <w:sz w:val="16"/>
                <w:szCs w:val="16"/>
                <w14:ligatures w14:val="standardContextual"/>
              </w:rPr>
              <w:t>Potpora za novorođeno dijete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B25E" w14:textId="77777777" w:rsidR="00725619" w:rsidRPr="00564B9D" w:rsidRDefault="00725619" w:rsidP="002A4492">
            <w:pPr>
              <w:suppressAutoHyphens w:val="0"/>
              <w:autoSpaceDN/>
              <w:spacing w:after="0" w:line="240" w:lineRule="auto"/>
              <w:ind w:left="11" w:right="57" w:hanging="11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14.000,00</w:t>
            </w:r>
          </w:p>
        </w:tc>
      </w:tr>
      <w:tr w:rsidR="00725619" w14:paraId="1655DCA4" w14:textId="77777777" w:rsidTr="002A4492">
        <w:trPr>
          <w:trHeight w:val="13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EC0F" w14:textId="77777777" w:rsidR="00725619" w:rsidRPr="00564B9D" w:rsidRDefault="00725619" w:rsidP="002A4492">
            <w:pPr>
              <w:suppressAutoHyphens w:val="0"/>
              <w:autoSpaceDN/>
              <w:spacing w:after="0" w:line="240" w:lineRule="auto"/>
              <w:ind w:left="447" w:right="57" w:hanging="447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2. Tečaj za trudnice - škola za rodilje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B7B2" w14:textId="77777777" w:rsidR="00725619" w:rsidRPr="00564B9D" w:rsidRDefault="00725619" w:rsidP="002A4492">
            <w:pPr>
              <w:suppressAutoHyphens w:val="0"/>
              <w:autoSpaceDN/>
              <w:spacing w:after="0" w:line="240" w:lineRule="auto"/>
              <w:ind w:left="11" w:right="57" w:hanging="11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800,00</w:t>
            </w:r>
          </w:p>
        </w:tc>
      </w:tr>
      <w:tr w:rsidR="00725619" w14:paraId="69B0E76E" w14:textId="77777777" w:rsidTr="002A4492">
        <w:trPr>
          <w:trHeight w:val="79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4329" w14:textId="77777777" w:rsidR="00725619" w:rsidRPr="00564B9D" w:rsidRDefault="00725619" w:rsidP="002A4492">
            <w:pPr>
              <w:suppressAutoHyphens w:val="0"/>
              <w:autoSpaceDN/>
              <w:spacing w:after="0" w:line="240" w:lineRule="auto"/>
              <w:ind w:left="447" w:right="57" w:hanging="447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hAnsi="Arial" w:cs="Arial"/>
                <w:color w:val="242021"/>
                <w:sz w:val="16"/>
                <w:szCs w:val="16"/>
                <w14:ligatures w14:val="standardContextual"/>
              </w:rPr>
              <w:t xml:space="preserve">3. Sufinanciranje prehrane za dojenčad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75F5" w14:textId="77777777" w:rsidR="00725619" w:rsidRPr="00564B9D" w:rsidRDefault="00725619" w:rsidP="002A4492">
            <w:pPr>
              <w:suppressAutoHyphens w:val="0"/>
              <w:autoSpaceDN/>
              <w:spacing w:after="0" w:line="240" w:lineRule="auto"/>
              <w:ind w:left="11" w:right="57" w:hanging="11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5.500,00</w:t>
            </w:r>
          </w:p>
        </w:tc>
      </w:tr>
      <w:tr w:rsidR="00725619" w14:paraId="46E2020E" w14:textId="77777777" w:rsidTr="002A4492">
        <w:trPr>
          <w:trHeight w:val="79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6657" w14:textId="77777777" w:rsidR="00725619" w:rsidRPr="00564B9D" w:rsidRDefault="00725619" w:rsidP="002A4492">
            <w:pPr>
              <w:suppressAutoHyphens w:val="0"/>
              <w:autoSpaceDN/>
              <w:spacing w:after="0" w:line="240" w:lineRule="auto"/>
              <w:ind w:left="447" w:right="57" w:hanging="447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4. Prevencijsko dijagnostički pregledi za odrasle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E95A" w14:textId="77777777" w:rsidR="00725619" w:rsidRPr="00564B9D" w:rsidRDefault="00725619" w:rsidP="002A4492">
            <w:pPr>
              <w:suppressAutoHyphens w:val="0"/>
              <w:autoSpaceDN/>
              <w:spacing w:after="0" w:line="240" w:lineRule="auto"/>
              <w:ind w:left="11" w:right="57" w:hanging="11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6.500,00</w:t>
            </w:r>
          </w:p>
        </w:tc>
      </w:tr>
      <w:tr w:rsidR="00725619" w14:paraId="21F46EEB" w14:textId="77777777" w:rsidTr="002A4492">
        <w:trPr>
          <w:trHeight w:val="11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9D30" w14:textId="77777777" w:rsidR="00725619" w:rsidRPr="00564B9D" w:rsidRDefault="00725619" w:rsidP="002A4492">
            <w:pPr>
              <w:suppressAutoHyphens w:val="0"/>
              <w:autoSpaceDN/>
              <w:spacing w:after="0" w:line="240" w:lineRule="auto"/>
              <w:ind w:left="447" w:right="57" w:hanging="447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5. Prevencijsko dijagnostički pregledi i tretmani za djecu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2CEE" w14:textId="77777777" w:rsidR="00725619" w:rsidRPr="00564B9D" w:rsidRDefault="00725619" w:rsidP="002A4492">
            <w:pPr>
              <w:suppressAutoHyphens w:val="0"/>
              <w:autoSpaceDN/>
              <w:spacing w:after="0" w:line="240" w:lineRule="auto"/>
              <w:ind w:left="11" w:right="57" w:hanging="11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13.500,00</w:t>
            </w:r>
          </w:p>
        </w:tc>
      </w:tr>
      <w:tr w:rsidR="00725619" w14:paraId="627E360F" w14:textId="77777777" w:rsidTr="002A4492">
        <w:trPr>
          <w:trHeight w:val="59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F9A6" w14:textId="77777777" w:rsidR="00725619" w:rsidRPr="00564B9D" w:rsidRDefault="00725619" w:rsidP="002A4492">
            <w:pPr>
              <w:suppressAutoHyphens w:val="0"/>
              <w:autoSpaceDN/>
              <w:spacing w:after="0" w:line="240" w:lineRule="auto"/>
              <w:ind w:left="447" w:right="57" w:hanging="447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6. Financiranje javnog prijevoza dobrovoljnim davateljima krvi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2BB2" w14:textId="77777777" w:rsidR="00725619" w:rsidRPr="00564B9D" w:rsidRDefault="00725619" w:rsidP="002A4492">
            <w:pPr>
              <w:suppressAutoHyphens w:val="0"/>
              <w:autoSpaceDN/>
              <w:spacing w:after="0" w:line="240" w:lineRule="auto"/>
              <w:ind w:left="11" w:right="57" w:hanging="11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5.000,00</w:t>
            </w:r>
          </w:p>
        </w:tc>
      </w:tr>
      <w:tr w:rsidR="00725619" w14:paraId="0BE1C0A4" w14:textId="77777777" w:rsidTr="002A4492">
        <w:trPr>
          <w:trHeight w:val="9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EECDAF5" w14:textId="77777777" w:rsidR="00725619" w:rsidRPr="00564B9D" w:rsidRDefault="00725619" w:rsidP="002A4492">
            <w:pPr>
              <w:suppressAutoHyphens w:val="0"/>
              <w:autoSpaceDN/>
              <w:spacing w:after="0" w:line="240" w:lineRule="auto"/>
              <w:ind w:left="11" w:right="57" w:hanging="11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  <w:p w14:paraId="7F98A5FE" w14:textId="77777777" w:rsidR="00725619" w:rsidRPr="00564B9D" w:rsidRDefault="00725619" w:rsidP="002A4492">
            <w:pPr>
              <w:suppressAutoHyphens w:val="0"/>
              <w:autoSpaceDN/>
              <w:spacing w:after="0" w:line="240" w:lineRule="auto"/>
              <w:ind w:left="11" w:right="57" w:hanging="11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UKUPNO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1E24FBEF" w14:textId="77777777" w:rsidR="00725619" w:rsidRPr="00564B9D" w:rsidRDefault="00725619" w:rsidP="002A4492">
            <w:pPr>
              <w:suppressAutoHyphens w:val="0"/>
              <w:autoSpaceDN/>
              <w:spacing w:after="0" w:line="240" w:lineRule="auto"/>
              <w:ind w:left="11" w:right="57" w:hanging="11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45.300,00</w:t>
            </w:r>
          </w:p>
        </w:tc>
      </w:tr>
      <w:tr w:rsidR="00725619" w14:paraId="3FD2CDDF" w14:textId="77777777" w:rsidTr="002A4492">
        <w:trPr>
          <w:trHeight w:val="284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6EA80B9F" w14:textId="77777777" w:rsidR="00725619" w:rsidRPr="00564B9D" w:rsidRDefault="00725619" w:rsidP="002A4492">
            <w:pPr>
              <w:suppressAutoHyphens w:val="0"/>
              <w:autoSpaceDN/>
              <w:spacing w:after="0" w:line="240" w:lineRule="auto"/>
              <w:ind w:left="11" w:right="57" w:hanging="11"/>
              <w:contextualSpacing/>
              <w:jc w:val="center"/>
              <w:textAlignment w:val="auto"/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Arial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2. SOCIJALNI PROGRAM </w:t>
            </w:r>
          </w:p>
        </w:tc>
      </w:tr>
      <w:tr w:rsidR="00725619" w14:paraId="4DB26E87" w14:textId="77777777" w:rsidTr="002A4492">
        <w:trPr>
          <w:trHeight w:val="21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A846" w14:textId="77777777" w:rsidR="00725619" w:rsidRPr="00564B9D" w:rsidRDefault="00725619" w:rsidP="00725619">
            <w:pPr>
              <w:numPr>
                <w:ilvl w:val="0"/>
                <w:numId w:val="2"/>
              </w:numPr>
              <w:shd w:val="clear" w:color="auto" w:fill="FFFFFF"/>
              <w:suppressAutoHyphens w:val="0"/>
              <w:autoSpaceDN/>
              <w:spacing w:after="0" w:line="266" w:lineRule="auto"/>
              <w:ind w:left="164" w:right="57" w:hanging="142"/>
              <w:jc w:val="both"/>
              <w:textAlignment w:val="auto"/>
              <w:rPr>
                <w:rFonts w:ascii="Times New Roman" w:eastAsia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t>Novčana pomoć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4B1E" w14:textId="77777777" w:rsidR="00725619" w:rsidRPr="00564B9D" w:rsidRDefault="00725619" w:rsidP="002A4492">
            <w:pPr>
              <w:suppressAutoHyphens w:val="0"/>
              <w:autoSpaceDN/>
              <w:spacing w:after="165"/>
              <w:ind w:left="10" w:right="57" w:hanging="9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9.500,00</w:t>
            </w:r>
          </w:p>
        </w:tc>
      </w:tr>
      <w:tr w:rsidR="00725619" w14:paraId="38088AC5" w14:textId="77777777" w:rsidTr="002A4492">
        <w:trPr>
          <w:trHeight w:val="21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0676" w14:textId="77777777" w:rsidR="00725619" w:rsidRPr="00564B9D" w:rsidRDefault="00725619" w:rsidP="00725619">
            <w:pPr>
              <w:numPr>
                <w:ilvl w:val="0"/>
                <w:numId w:val="2"/>
              </w:numPr>
              <w:shd w:val="clear" w:color="auto" w:fill="FFFFFF"/>
              <w:suppressAutoHyphens w:val="0"/>
              <w:autoSpaceDN/>
              <w:spacing w:after="0" w:line="266" w:lineRule="auto"/>
              <w:ind w:left="164" w:right="57" w:hanging="142"/>
              <w:jc w:val="both"/>
              <w:textAlignment w:val="auto"/>
              <w:rPr>
                <w:rFonts w:ascii="Times New Roman" w:eastAsia="Times New Roman" w:hAnsi="Times New Roman"/>
                <w:kern w:val="2"/>
                <w:sz w:val="16"/>
                <w:szCs w:val="16"/>
                <w:lang w:val="pl-PL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t>Podmirenje troškova prehrane i prigodne pomoći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B968" w14:textId="77777777" w:rsidR="00725619" w:rsidRPr="00564B9D" w:rsidRDefault="00725619" w:rsidP="002A4492">
            <w:pPr>
              <w:suppressAutoHyphens w:val="0"/>
              <w:autoSpaceDN/>
              <w:spacing w:after="165"/>
              <w:ind w:left="10" w:right="57" w:hanging="9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46.000,00</w:t>
            </w:r>
          </w:p>
        </w:tc>
      </w:tr>
      <w:tr w:rsidR="00725619" w14:paraId="602994C0" w14:textId="77777777" w:rsidTr="002A4492">
        <w:trPr>
          <w:trHeight w:val="13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860D" w14:textId="77777777" w:rsidR="00725619" w:rsidRPr="00564B9D" w:rsidRDefault="00725619" w:rsidP="00725619">
            <w:pPr>
              <w:numPr>
                <w:ilvl w:val="0"/>
                <w:numId w:val="2"/>
              </w:numPr>
              <w:shd w:val="clear" w:color="auto" w:fill="FFFFFF"/>
              <w:suppressAutoHyphens w:val="0"/>
              <w:autoSpaceDN/>
              <w:spacing w:after="0" w:line="266" w:lineRule="auto"/>
              <w:ind w:left="164" w:right="57" w:hanging="142"/>
              <w:jc w:val="both"/>
              <w:textAlignment w:val="auto"/>
              <w:rPr>
                <w:rFonts w:ascii="Times New Roman" w:eastAsia="Times New Roman" w:hAnsi="Times New Roman"/>
                <w:kern w:val="2"/>
                <w:sz w:val="16"/>
                <w:szCs w:val="16"/>
                <w:lang w:val="es-ES_tradnl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t>Podmirenje troškova prijevoza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7C70" w14:textId="77777777" w:rsidR="00725619" w:rsidRPr="00564B9D" w:rsidRDefault="00725619" w:rsidP="002A4492">
            <w:pPr>
              <w:suppressAutoHyphens w:val="0"/>
              <w:autoSpaceDN/>
              <w:spacing w:after="165"/>
              <w:ind w:left="10" w:right="57" w:hanging="9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3.000,00</w:t>
            </w:r>
          </w:p>
        </w:tc>
      </w:tr>
      <w:tr w:rsidR="00725619" w14:paraId="0610567D" w14:textId="77777777" w:rsidTr="002A4492">
        <w:trPr>
          <w:trHeight w:val="6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6F34" w14:textId="77777777" w:rsidR="00725619" w:rsidRPr="00564B9D" w:rsidRDefault="00725619" w:rsidP="00725619">
            <w:pPr>
              <w:numPr>
                <w:ilvl w:val="0"/>
                <w:numId w:val="2"/>
              </w:numPr>
              <w:shd w:val="clear" w:color="auto" w:fill="FFFFFF"/>
              <w:suppressAutoHyphens w:val="0"/>
              <w:autoSpaceDN/>
              <w:spacing w:after="0" w:line="266" w:lineRule="auto"/>
              <w:ind w:left="164" w:right="57" w:hanging="142"/>
              <w:jc w:val="both"/>
              <w:textAlignment w:val="auto"/>
              <w:rPr>
                <w:rFonts w:ascii="Times New Roman" w:eastAsia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t>Pomoć u kući i druge vrste pomoći u okviru projekta Zajedno u zlatnim godinama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F57B" w14:textId="77777777" w:rsidR="00725619" w:rsidRPr="00564B9D" w:rsidRDefault="00725619" w:rsidP="002A4492">
            <w:pPr>
              <w:suppressAutoHyphens w:val="0"/>
              <w:autoSpaceDN/>
              <w:spacing w:after="165"/>
              <w:ind w:left="10" w:right="57" w:hanging="9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104.050,00</w:t>
            </w:r>
          </w:p>
        </w:tc>
      </w:tr>
      <w:tr w:rsidR="00725619" w14:paraId="49F38E4C" w14:textId="77777777" w:rsidTr="002A4492">
        <w:trPr>
          <w:trHeight w:val="6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B4FB" w14:textId="77777777" w:rsidR="00725619" w:rsidRPr="00564B9D" w:rsidRDefault="00725619" w:rsidP="00725619">
            <w:pPr>
              <w:numPr>
                <w:ilvl w:val="0"/>
                <w:numId w:val="2"/>
              </w:numPr>
              <w:shd w:val="clear" w:color="auto" w:fill="FFFFFF"/>
              <w:suppressAutoHyphens w:val="0"/>
              <w:autoSpaceDN/>
              <w:spacing w:after="0" w:line="266" w:lineRule="auto"/>
              <w:ind w:left="164" w:right="57" w:hanging="142"/>
              <w:jc w:val="both"/>
              <w:textAlignment w:val="auto"/>
              <w:rPr>
                <w:rFonts w:ascii="Times New Roman" w:eastAsia="Times New Roman" w:hAnsi="Times New Roman"/>
                <w:kern w:val="2"/>
                <w:sz w:val="16"/>
                <w:szCs w:val="16"/>
                <w:lang w:val="es-ES_tradnl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t>Financiranje pune cijene predškolskog obrazovanja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C42C" w14:textId="77777777" w:rsidR="00725619" w:rsidRPr="00564B9D" w:rsidRDefault="00725619" w:rsidP="002A4492">
            <w:pPr>
              <w:suppressAutoHyphens w:val="0"/>
              <w:autoSpaceDN/>
              <w:spacing w:after="165"/>
              <w:ind w:left="10" w:right="57" w:hanging="9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5.000,00</w:t>
            </w:r>
          </w:p>
        </w:tc>
      </w:tr>
      <w:tr w:rsidR="00725619" w14:paraId="26CAF10E" w14:textId="77777777" w:rsidTr="002A4492">
        <w:trPr>
          <w:trHeight w:val="6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C9EF" w14:textId="77777777" w:rsidR="00725619" w:rsidRPr="00564B9D" w:rsidRDefault="00725619" w:rsidP="00725619">
            <w:pPr>
              <w:numPr>
                <w:ilvl w:val="0"/>
                <w:numId w:val="2"/>
              </w:numPr>
              <w:shd w:val="clear" w:color="auto" w:fill="FFFFFF"/>
              <w:suppressAutoHyphens w:val="0"/>
              <w:autoSpaceDN/>
              <w:spacing w:after="0" w:line="266" w:lineRule="auto"/>
              <w:ind w:left="164" w:right="57" w:hanging="142"/>
              <w:jc w:val="both"/>
              <w:textAlignment w:val="auto"/>
              <w:rPr>
                <w:rFonts w:ascii="Times New Roman" w:eastAsia="Times New Roman" w:hAnsi="Times New Roman"/>
                <w:kern w:val="2"/>
                <w:sz w:val="16"/>
                <w:szCs w:val="16"/>
                <w:lang w:val="es-ES_tradnl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t>Financiranje pune cijene produženog boravka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A4DF" w14:textId="77777777" w:rsidR="00725619" w:rsidRPr="00564B9D" w:rsidRDefault="00725619" w:rsidP="002A4492">
            <w:pPr>
              <w:suppressAutoHyphens w:val="0"/>
              <w:autoSpaceDN/>
              <w:spacing w:after="165"/>
              <w:ind w:left="10" w:right="57" w:hanging="9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5.000,00</w:t>
            </w:r>
          </w:p>
        </w:tc>
      </w:tr>
      <w:tr w:rsidR="00725619" w14:paraId="2E84F95A" w14:textId="77777777" w:rsidTr="002A4492">
        <w:trPr>
          <w:trHeight w:val="6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6B18" w14:textId="77777777" w:rsidR="00725619" w:rsidRPr="00564B9D" w:rsidRDefault="00725619" w:rsidP="00725619">
            <w:pPr>
              <w:numPr>
                <w:ilvl w:val="0"/>
                <w:numId w:val="2"/>
              </w:numPr>
              <w:suppressAutoHyphens w:val="0"/>
              <w:autoSpaceDN/>
              <w:spacing w:after="0" w:line="266" w:lineRule="auto"/>
              <w:ind w:left="164" w:right="57" w:hanging="142"/>
              <w:contextualSpacing/>
              <w:jc w:val="both"/>
              <w:textAlignment w:val="auto"/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Podmirenje pogrebnih troškova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5CB9" w14:textId="77777777" w:rsidR="00725619" w:rsidRPr="00564B9D" w:rsidRDefault="00725619" w:rsidP="002A4492">
            <w:pPr>
              <w:suppressAutoHyphens w:val="0"/>
              <w:autoSpaceDN/>
              <w:spacing w:after="165"/>
              <w:ind w:left="10" w:right="57" w:hanging="9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2.000,00</w:t>
            </w:r>
          </w:p>
        </w:tc>
      </w:tr>
      <w:tr w:rsidR="00725619" w14:paraId="7243C76C" w14:textId="77777777" w:rsidTr="002A4492">
        <w:trPr>
          <w:trHeight w:val="5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CADC" w14:textId="77777777" w:rsidR="00725619" w:rsidRPr="00564B9D" w:rsidRDefault="00725619" w:rsidP="00725619">
            <w:pPr>
              <w:numPr>
                <w:ilvl w:val="0"/>
                <w:numId w:val="2"/>
              </w:numPr>
              <w:suppressAutoHyphens w:val="0"/>
              <w:autoSpaceDN/>
              <w:spacing w:after="0" w:line="266" w:lineRule="auto"/>
              <w:ind w:left="164" w:right="57" w:hanging="142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Naknada za troškove stanovanja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399B" w14:textId="77777777" w:rsidR="00725619" w:rsidRPr="00564B9D" w:rsidRDefault="00725619" w:rsidP="002A4492">
            <w:pPr>
              <w:suppressAutoHyphens w:val="0"/>
              <w:autoSpaceDN/>
              <w:spacing w:after="165"/>
              <w:ind w:left="10" w:right="57" w:hanging="9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16.000,00</w:t>
            </w:r>
          </w:p>
        </w:tc>
      </w:tr>
      <w:tr w:rsidR="00725619" w14:paraId="4D1F848D" w14:textId="77777777" w:rsidTr="002A4492">
        <w:trPr>
          <w:trHeight w:val="5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6B74" w14:textId="77777777" w:rsidR="00725619" w:rsidRPr="00564B9D" w:rsidRDefault="00725619" w:rsidP="00725619">
            <w:pPr>
              <w:numPr>
                <w:ilvl w:val="0"/>
                <w:numId w:val="2"/>
              </w:numPr>
              <w:suppressAutoHyphens w:val="0"/>
              <w:autoSpaceDN/>
              <w:spacing w:after="0" w:line="266" w:lineRule="auto"/>
              <w:ind w:left="164" w:right="57" w:hanging="142"/>
              <w:contextualSpacing/>
              <w:jc w:val="both"/>
              <w:textAlignment w:val="auto"/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Financiranje javnog prijevoza invalidima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064E" w14:textId="77777777" w:rsidR="00725619" w:rsidRPr="00564B9D" w:rsidRDefault="00725619" w:rsidP="002A4492">
            <w:pPr>
              <w:suppressAutoHyphens w:val="0"/>
              <w:autoSpaceDN/>
              <w:spacing w:after="165"/>
              <w:ind w:left="10" w:right="57" w:hanging="9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4.400,00</w:t>
            </w:r>
          </w:p>
        </w:tc>
      </w:tr>
      <w:tr w:rsidR="00725619" w14:paraId="2A19ECFD" w14:textId="77777777" w:rsidTr="002A4492">
        <w:trPr>
          <w:trHeight w:val="5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D2CE120" w14:textId="77777777" w:rsidR="00725619" w:rsidRPr="00564B9D" w:rsidRDefault="00725619" w:rsidP="002A4492">
            <w:pPr>
              <w:suppressAutoHyphens w:val="0"/>
              <w:autoSpaceDN/>
              <w:spacing w:after="165"/>
              <w:ind w:left="10" w:right="57" w:hanging="9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DC56E01" w14:textId="77777777" w:rsidR="00725619" w:rsidRPr="00564B9D" w:rsidRDefault="00725619" w:rsidP="002A4492">
            <w:pPr>
              <w:suppressAutoHyphens w:val="0"/>
              <w:autoSpaceDN/>
              <w:spacing w:after="165"/>
              <w:ind w:left="10" w:right="57" w:hanging="9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194.950,00</w:t>
            </w:r>
          </w:p>
        </w:tc>
      </w:tr>
      <w:tr w:rsidR="00725619" w14:paraId="47F25F26" w14:textId="77777777" w:rsidTr="002A4492">
        <w:trPr>
          <w:trHeight w:val="284"/>
        </w:trPr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3FA56A78" w14:textId="77777777" w:rsidR="00725619" w:rsidRPr="00564B9D" w:rsidRDefault="00725619" w:rsidP="002A4492">
            <w:pPr>
              <w:suppressAutoHyphens w:val="0"/>
              <w:autoSpaceDN/>
              <w:spacing w:after="165"/>
              <w:ind w:left="10" w:right="57" w:hanging="9"/>
              <w:contextualSpacing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3. OSTALI PROGRAMI </w:t>
            </w:r>
          </w:p>
        </w:tc>
      </w:tr>
      <w:tr w:rsidR="00725619" w14:paraId="2A68EDA8" w14:textId="77777777" w:rsidTr="002A4492">
        <w:trPr>
          <w:trHeight w:val="5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21AD" w14:textId="77777777" w:rsidR="00725619" w:rsidRPr="00564B9D" w:rsidRDefault="00725619" w:rsidP="002A4492">
            <w:pPr>
              <w:suppressAutoHyphens w:val="0"/>
              <w:autoSpaceDN/>
              <w:spacing w:after="165"/>
              <w:ind w:left="10" w:right="57" w:hanging="9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1. Punktovi posebnog dežurstva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C0C5" w14:textId="77777777" w:rsidR="00725619" w:rsidRPr="00564B9D" w:rsidRDefault="00725619" w:rsidP="002A4492">
            <w:pPr>
              <w:suppressAutoHyphens w:val="0"/>
              <w:autoSpaceDN/>
              <w:spacing w:after="165"/>
              <w:ind w:left="10" w:right="57" w:hanging="9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5.000,00</w:t>
            </w:r>
          </w:p>
        </w:tc>
      </w:tr>
      <w:tr w:rsidR="00725619" w14:paraId="02FE8A4C" w14:textId="77777777" w:rsidTr="002A4492">
        <w:trPr>
          <w:trHeight w:val="9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0055" w14:textId="77777777" w:rsidR="00725619" w:rsidRPr="00564B9D" w:rsidRDefault="00725619" w:rsidP="002A4492">
            <w:pPr>
              <w:suppressAutoHyphens w:val="0"/>
              <w:autoSpaceDN/>
              <w:spacing w:after="165"/>
              <w:ind w:left="10" w:right="57" w:hanging="9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2. Palijativna skrb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6D22" w14:textId="77777777" w:rsidR="00725619" w:rsidRPr="00564B9D" w:rsidRDefault="00725619" w:rsidP="002A4492">
            <w:pPr>
              <w:suppressAutoHyphens w:val="0"/>
              <w:autoSpaceDN/>
              <w:spacing w:after="165"/>
              <w:ind w:left="10" w:right="57" w:hanging="9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2.500,00</w:t>
            </w:r>
          </w:p>
        </w:tc>
      </w:tr>
      <w:tr w:rsidR="00725619" w14:paraId="1FB39021" w14:textId="77777777" w:rsidTr="002A4492">
        <w:trPr>
          <w:trHeight w:val="9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2A05" w14:textId="77777777" w:rsidR="00725619" w:rsidRPr="00564B9D" w:rsidRDefault="00725619" w:rsidP="002A4492">
            <w:pPr>
              <w:suppressAutoHyphens w:val="0"/>
              <w:autoSpaceDN/>
              <w:spacing w:after="165"/>
              <w:ind w:left="10" w:right="57" w:hanging="9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3. Potpore socijalno-humanitarnim udrugama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0CA9" w14:textId="77777777" w:rsidR="00725619" w:rsidRPr="00564B9D" w:rsidRDefault="00725619" w:rsidP="002A4492">
            <w:pPr>
              <w:suppressAutoHyphens w:val="0"/>
              <w:autoSpaceDN/>
              <w:spacing w:after="165"/>
              <w:ind w:left="10" w:right="57" w:hanging="9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10.500,00</w:t>
            </w:r>
          </w:p>
        </w:tc>
      </w:tr>
      <w:tr w:rsidR="00725619" w14:paraId="53C69C6D" w14:textId="77777777" w:rsidTr="002A4492">
        <w:trPr>
          <w:trHeight w:val="141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46AD0892" w14:textId="77777777" w:rsidR="00725619" w:rsidRPr="00564B9D" w:rsidRDefault="00725619" w:rsidP="002A4492">
            <w:pPr>
              <w:suppressAutoHyphens w:val="0"/>
              <w:autoSpaceDN/>
              <w:spacing w:after="165"/>
              <w:ind w:left="10" w:right="57" w:hanging="9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772EA6EC" w14:textId="77777777" w:rsidR="00725619" w:rsidRPr="00564B9D" w:rsidRDefault="00725619" w:rsidP="002A4492">
            <w:pPr>
              <w:suppressAutoHyphens w:val="0"/>
              <w:autoSpaceDN/>
              <w:spacing w:after="165"/>
              <w:ind w:left="10" w:right="57" w:hanging="9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18.000,00</w:t>
            </w:r>
          </w:p>
        </w:tc>
      </w:tr>
      <w:tr w:rsidR="00725619" w14:paraId="7B7D3D50" w14:textId="77777777" w:rsidTr="002A4492">
        <w:trPr>
          <w:trHeight w:val="5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56BE2A2" w14:textId="77777777" w:rsidR="00725619" w:rsidRPr="00564B9D" w:rsidRDefault="00725619" w:rsidP="002A4492">
            <w:pPr>
              <w:suppressAutoHyphens w:val="0"/>
              <w:autoSpaceDN/>
              <w:spacing w:after="165"/>
              <w:ind w:left="10" w:right="57" w:hanging="9"/>
              <w:contextualSpacing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SVEUKUPNO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6E21CF2" w14:textId="77777777" w:rsidR="00725619" w:rsidRPr="00564B9D" w:rsidRDefault="00725619" w:rsidP="002A4492">
            <w:pPr>
              <w:suppressAutoHyphens w:val="0"/>
              <w:autoSpaceDN/>
              <w:spacing w:after="165"/>
              <w:ind w:left="10" w:right="57" w:hanging="9"/>
              <w:contextualSpacing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564B9D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258.250,00</w:t>
            </w:r>
          </w:p>
        </w:tc>
      </w:tr>
    </w:tbl>
    <w:p w14:paraId="0EA61842" w14:textId="77777777" w:rsidR="00725619" w:rsidRPr="00564B9D" w:rsidRDefault="00725619" w:rsidP="00725619">
      <w:pPr>
        <w:suppressAutoHyphens w:val="0"/>
        <w:autoSpaceDN/>
        <w:spacing w:after="165"/>
        <w:ind w:left="10" w:right="57" w:hanging="9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14FD4890" w14:textId="77777777" w:rsidR="00725619" w:rsidRPr="00564B9D" w:rsidRDefault="00725619" w:rsidP="00725619">
      <w:pPr>
        <w:suppressAutoHyphens w:val="0"/>
        <w:autoSpaceDN/>
        <w:spacing w:after="165"/>
        <w:ind w:left="10" w:right="57" w:hanging="9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 w:rsidRPr="00564B9D"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5.</w:t>
      </w:r>
    </w:p>
    <w:p w14:paraId="53D572B6" w14:textId="77777777" w:rsidR="00725619" w:rsidRPr="00564B9D" w:rsidRDefault="00725619" w:rsidP="00725619">
      <w:pPr>
        <w:suppressAutoHyphens w:val="0"/>
        <w:autoSpaceDN/>
        <w:spacing w:after="15" w:line="247" w:lineRule="auto"/>
        <w:ind w:right="67" w:hanging="9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564B9D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>Raspored sredstava iz ovog Programa vrši Jedinstveni upravni odjel Općine Jelenje na temelju općih akata općinskog vijeća i općinskog načelnika.</w:t>
      </w:r>
    </w:p>
    <w:p w14:paraId="3E9E8503" w14:textId="77777777" w:rsidR="00725619" w:rsidRPr="00564B9D" w:rsidRDefault="00725619" w:rsidP="00725619">
      <w:pPr>
        <w:suppressAutoHyphens w:val="0"/>
        <w:autoSpaceDN/>
        <w:spacing w:after="165"/>
        <w:ind w:left="10" w:right="57" w:hanging="9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</w:p>
    <w:p w14:paraId="62619636" w14:textId="77777777" w:rsidR="00725619" w:rsidRPr="00564B9D" w:rsidRDefault="00725619" w:rsidP="00725619">
      <w:pPr>
        <w:suppressAutoHyphens w:val="0"/>
        <w:autoSpaceDN/>
        <w:spacing w:after="165"/>
        <w:ind w:left="10" w:right="57" w:hanging="9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 w:rsidRPr="00564B9D"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6.</w:t>
      </w:r>
    </w:p>
    <w:p w14:paraId="54CC7274" w14:textId="77777777" w:rsidR="00725619" w:rsidRPr="00564B9D" w:rsidRDefault="00725619" w:rsidP="00725619">
      <w:pPr>
        <w:suppressAutoHyphens w:val="0"/>
        <w:autoSpaceDN/>
        <w:spacing w:after="165"/>
        <w:ind w:left="10" w:right="57" w:hanging="9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564B9D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Ovaj Program stupa na snagu osmog dana od dana objave u „Službenim novinama Općine Jelenje“, a primjenjuje se od 1. siječnja 2024. godine.</w:t>
      </w:r>
    </w:p>
    <w:p w14:paraId="424FA801" w14:textId="77777777" w:rsidR="00725619" w:rsidRPr="00564B9D" w:rsidRDefault="00725619" w:rsidP="00725619">
      <w:pPr>
        <w:suppressAutoHyphens w:val="0"/>
        <w:autoSpaceDN/>
        <w:spacing w:after="0"/>
        <w:ind w:left="10" w:right="57" w:hanging="9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5531E60A" w14:textId="77777777" w:rsidR="00EF77CD" w:rsidRDefault="00EF77CD" w:rsidP="00EF77CD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KLASA: 024-04/23-01/8</w:t>
      </w:r>
    </w:p>
    <w:p w14:paraId="765300A6" w14:textId="71D48A8F" w:rsidR="00EF77CD" w:rsidRDefault="00EF77CD" w:rsidP="00EF77CD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URBROJ: 2170-20-03-01/03-23-1</w:t>
      </w:r>
      <w:r>
        <w:rPr>
          <w:rFonts w:ascii="Arial" w:hAnsi="Arial" w:cs="Arial"/>
          <w:sz w:val="22"/>
          <w:szCs w:val="22"/>
          <w:lang w:val="pl-PL"/>
        </w:rPr>
        <w:t>3</w:t>
      </w:r>
    </w:p>
    <w:p w14:paraId="694CCA2D" w14:textId="77777777" w:rsidR="00EF77CD" w:rsidRDefault="00EF77CD" w:rsidP="00EF77CD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Dražice, 22. prosinca 2023.</w:t>
      </w:r>
    </w:p>
    <w:p w14:paraId="6760CF6D" w14:textId="77777777" w:rsidR="00EF77CD" w:rsidRDefault="00EF77CD" w:rsidP="00725619">
      <w:pPr>
        <w:suppressAutoHyphens w:val="0"/>
        <w:autoSpaceDN/>
        <w:spacing w:after="0"/>
        <w:ind w:left="5040" w:right="57" w:hanging="11"/>
        <w:jc w:val="right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46F98494" w14:textId="2231B105" w:rsidR="00725619" w:rsidRPr="00564B9D" w:rsidRDefault="00725619" w:rsidP="00725619">
      <w:pPr>
        <w:suppressAutoHyphens w:val="0"/>
        <w:autoSpaceDN/>
        <w:spacing w:after="0"/>
        <w:ind w:left="5040" w:right="57" w:hanging="11"/>
        <w:jc w:val="right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564B9D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OPĆINSKO VIJEĆE OPĆINE JELENJE</w:t>
      </w:r>
    </w:p>
    <w:p w14:paraId="6D6000D9" w14:textId="77777777" w:rsidR="00725619" w:rsidRPr="00564B9D" w:rsidRDefault="00725619" w:rsidP="00725619">
      <w:pPr>
        <w:suppressAutoHyphens w:val="0"/>
        <w:autoSpaceDN/>
        <w:spacing w:after="0"/>
        <w:ind w:left="5040" w:right="57" w:hanging="11"/>
        <w:jc w:val="right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564B9D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PREDSJEDNICA</w:t>
      </w:r>
    </w:p>
    <w:p w14:paraId="170D71EE" w14:textId="77777777" w:rsidR="00725619" w:rsidRPr="00564B9D" w:rsidRDefault="00725619" w:rsidP="00725619">
      <w:pPr>
        <w:suppressAutoHyphens w:val="0"/>
        <w:autoSpaceDN/>
        <w:spacing w:after="0"/>
        <w:ind w:left="5040" w:right="57" w:hanging="11"/>
        <w:jc w:val="right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564B9D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Izabela Nemaz</w:t>
      </w:r>
    </w:p>
    <w:p w14:paraId="79D87CEB" w14:textId="77777777" w:rsidR="00725619" w:rsidRPr="004807FC" w:rsidRDefault="00725619" w:rsidP="00725619">
      <w:pPr>
        <w:spacing w:after="0"/>
        <w:rPr>
          <w:rFonts w:ascii="Arial" w:eastAsia="Times New Roman" w:hAnsi="Arial" w:cs="Arial"/>
          <w:lang w:eastAsia="hr-HR"/>
        </w:rPr>
      </w:pPr>
    </w:p>
    <w:p w14:paraId="013D2BD3" w14:textId="77777777" w:rsidR="00725619" w:rsidRPr="004807FC" w:rsidRDefault="00725619" w:rsidP="00725619">
      <w:pPr>
        <w:spacing w:after="0"/>
        <w:rPr>
          <w:rFonts w:ascii="Arial" w:eastAsia="Times New Roman" w:hAnsi="Arial" w:cs="Arial"/>
          <w:lang w:eastAsia="hr-HR"/>
        </w:rPr>
      </w:pPr>
    </w:p>
    <w:p w14:paraId="77382E4E" w14:textId="77777777" w:rsidR="00011272" w:rsidRDefault="00011272"/>
    <w:sectPr w:rsidR="00011272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D51"/>
    <w:multiLevelType w:val="hybridMultilevel"/>
    <w:tmpl w:val="DABAA6DE"/>
    <w:lvl w:ilvl="0" w:tplc="82CC357C">
      <w:start w:val="1"/>
      <w:numFmt w:val="decimal"/>
      <w:lvlText w:val="%1."/>
      <w:lvlJc w:val="left"/>
      <w:pPr>
        <w:ind w:left="927" w:hanging="360"/>
      </w:pPr>
    </w:lvl>
    <w:lvl w:ilvl="1" w:tplc="570CF182">
      <w:start w:val="1"/>
      <w:numFmt w:val="lowerLetter"/>
      <w:lvlText w:val="%2."/>
      <w:lvlJc w:val="left"/>
      <w:pPr>
        <w:ind w:left="1647" w:hanging="360"/>
      </w:pPr>
    </w:lvl>
    <w:lvl w:ilvl="2" w:tplc="B9742A1A">
      <w:start w:val="1"/>
      <w:numFmt w:val="lowerRoman"/>
      <w:lvlText w:val="%3."/>
      <w:lvlJc w:val="right"/>
      <w:pPr>
        <w:ind w:left="2367" w:hanging="180"/>
      </w:pPr>
    </w:lvl>
    <w:lvl w:ilvl="3" w:tplc="8AA8B85A">
      <w:start w:val="1"/>
      <w:numFmt w:val="decimal"/>
      <w:lvlText w:val="%4."/>
      <w:lvlJc w:val="left"/>
      <w:pPr>
        <w:ind w:left="3087" w:hanging="360"/>
      </w:pPr>
    </w:lvl>
    <w:lvl w:ilvl="4" w:tplc="F9281D16">
      <w:start w:val="1"/>
      <w:numFmt w:val="lowerLetter"/>
      <w:lvlText w:val="%5."/>
      <w:lvlJc w:val="left"/>
      <w:pPr>
        <w:ind w:left="3807" w:hanging="360"/>
      </w:pPr>
    </w:lvl>
    <w:lvl w:ilvl="5" w:tplc="1CCE50BC">
      <w:start w:val="1"/>
      <w:numFmt w:val="lowerRoman"/>
      <w:lvlText w:val="%6."/>
      <w:lvlJc w:val="right"/>
      <w:pPr>
        <w:ind w:left="4527" w:hanging="180"/>
      </w:pPr>
    </w:lvl>
    <w:lvl w:ilvl="6" w:tplc="A642D04E">
      <w:start w:val="1"/>
      <w:numFmt w:val="decimal"/>
      <w:lvlText w:val="%7."/>
      <w:lvlJc w:val="left"/>
      <w:pPr>
        <w:ind w:left="5247" w:hanging="360"/>
      </w:pPr>
    </w:lvl>
    <w:lvl w:ilvl="7" w:tplc="CBB093AE">
      <w:start w:val="1"/>
      <w:numFmt w:val="lowerLetter"/>
      <w:lvlText w:val="%8."/>
      <w:lvlJc w:val="left"/>
      <w:pPr>
        <w:ind w:left="5967" w:hanging="360"/>
      </w:pPr>
    </w:lvl>
    <w:lvl w:ilvl="8" w:tplc="F4CCD8E4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69241F"/>
    <w:multiLevelType w:val="hybridMultilevel"/>
    <w:tmpl w:val="B038C7A0"/>
    <w:lvl w:ilvl="0" w:tplc="64E4E470">
      <w:start w:val="1"/>
      <w:numFmt w:val="decimal"/>
      <w:lvlText w:val="%1."/>
      <w:lvlJc w:val="left"/>
      <w:pPr>
        <w:ind w:left="382" w:hanging="360"/>
      </w:pPr>
      <w:rPr>
        <w:rFonts w:ascii="Arial" w:hAnsi="Arial" w:cs="Arial" w:hint="default"/>
      </w:rPr>
    </w:lvl>
    <w:lvl w:ilvl="1" w:tplc="5A04D196">
      <w:start w:val="1"/>
      <w:numFmt w:val="lowerLetter"/>
      <w:lvlText w:val="%2."/>
      <w:lvlJc w:val="left"/>
      <w:pPr>
        <w:ind w:left="1102" w:hanging="360"/>
      </w:pPr>
    </w:lvl>
    <w:lvl w:ilvl="2" w:tplc="0BA4188E">
      <w:start w:val="1"/>
      <w:numFmt w:val="lowerRoman"/>
      <w:lvlText w:val="%3."/>
      <w:lvlJc w:val="right"/>
      <w:pPr>
        <w:ind w:left="1822" w:hanging="180"/>
      </w:pPr>
    </w:lvl>
    <w:lvl w:ilvl="3" w:tplc="87D8E790">
      <w:start w:val="1"/>
      <w:numFmt w:val="decimal"/>
      <w:lvlText w:val="%4."/>
      <w:lvlJc w:val="left"/>
      <w:pPr>
        <w:ind w:left="2542" w:hanging="360"/>
      </w:pPr>
    </w:lvl>
    <w:lvl w:ilvl="4" w:tplc="3F9E0FEC">
      <w:start w:val="1"/>
      <w:numFmt w:val="lowerLetter"/>
      <w:lvlText w:val="%5."/>
      <w:lvlJc w:val="left"/>
      <w:pPr>
        <w:ind w:left="3262" w:hanging="360"/>
      </w:pPr>
    </w:lvl>
    <w:lvl w:ilvl="5" w:tplc="18746838">
      <w:start w:val="1"/>
      <w:numFmt w:val="lowerRoman"/>
      <w:lvlText w:val="%6."/>
      <w:lvlJc w:val="right"/>
      <w:pPr>
        <w:ind w:left="3982" w:hanging="180"/>
      </w:pPr>
    </w:lvl>
    <w:lvl w:ilvl="6" w:tplc="8EDC2688">
      <w:start w:val="1"/>
      <w:numFmt w:val="decimal"/>
      <w:lvlText w:val="%7."/>
      <w:lvlJc w:val="left"/>
      <w:pPr>
        <w:ind w:left="4702" w:hanging="360"/>
      </w:pPr>
    </w:lvl>
    <w:lvl w:ilvl="7" w:tplc="8AFA2A98">
      <w:start w:val="1"/>
      <w:numFmt w:val="lowerLetter"/>
      <w:lvlText w:val="%8."/>
      <w:lvlJc w:val="left"/>
      <w:pPr>
        <w:ind w:left="5422" w:hanging="360"/>
      </w:pPr>
    </w:lvl>
    <w:lvl w:ilvl="8" w:tplc="7CDA1F22">
      <w:start w:val="1"/>
      <w:numFmt w:val="lowerRoman"/>
      <w:lvlText w:val="%9."/>
      <w:lvlJc w:val="right"/>
      <w:pPr>
        <w:ind w:left="6142" w:hanging="180"/>
      </w:pPr>
    </w:lvl>
  </w:abstractNum>
  <w:num w:numId="1" w16cid:durableId="8507236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188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19"/>
    <w:rsid w:val="00011272"/>
    <w:rsid w:val="00725619"/>
    <w:rsid w:val="00E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6D01"/>
  <w15:chartTrackingRefBased/>
  <w15:docId w15:val="{A559CECC-9D8F-4ECF-9CA5-9E0B00A8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561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F77C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Racki</dc:creator>
  <cp:keywords/>
  <dc:description/>
  <cp:lastModifiedBy>Vedrana Racki</cp:lastModifiedBy>
  <cp:revision>3</cp:revision>
  <dcterms:created xsi:type="dcterms:W3CDTF">2023-12-27T09:03:00Z</dcterms:created>
  <dcterms:modified xsi:type="dcterms:W3CDTF">2023-12-27T14:45:00Z</dcterms:modified>
</cp:coreProperties>
</file>